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_GB2312" w:hAnsi="仿宋_GB2312" w:eastAsia="仿宋_GB2312" w:cs="仿宋_GB2312"/>
          <w:b/>
          <w:bCs/>
          <w:color w:val="auto"/>
          <w:sz w:val="32"/>
          <w:szCs w:val="32"/>
          <w:lang w:val="en-US" w:eastAsia="zh-CN"/>
        </w:rPr>
      </w:pPr>
      <w:bookmarkStart w:id="4" w:name="_GoBack"/>
      <w:bookmarkEnd w:id="4"/>
      <w:r>
        <w:rPr>
          <w:rFonts w:hint="eastAsia" w:ascii="仿宋_GB2312" w:hAnsi="仿宋_GB2312" w:eastAsia="仿宋_GB2312" w:cs="仿宋_GB2312"/>
          <w:b/>
          <w:bCs/>
          <w:color w:val="auto"/>
          <w:sz w:val="32"/>
          <w:szCs w:val="32"/>
          <w:lang w:val="en-US" w:eastAsia="zh-CN"/>
        </w:rPr>
        <w:t>附件1.2021一带一路暨金砖国家技能发展与技术创新大赛</w:t>
      </w:r>
    </w:p>
    <w:p>
      <w:pPr>
        <w:spacing w:line="540" w:lineRule="exact"/>
        <w:jc w:val="center"/>
        <w:rPr>
          <w:rFonts w:ascii="仿宋_GB2312" w:hAnsi="仿宋_GB2312" w:eastAsia="仿宋_GB2312" w:cs="仿宋"/>
          <w:b/>
          <w:color w:val="auto"/>
          <w:sz w:val="30"/>
          <w:szCs w:val="30"/>
        </w:rPr>
      </w:pPr>
      <w:r>
        <w:rPr>
          <w:rFonts w:hint="eastAsia" w:ascii="仿宋_GB2312" w:hAnsi="仿宋_GB2312" w:eastAsia="仿宋_GB2312" w:cs="仿宋_GB2312"/>
          <w:b/>
          <w:bCs/>
          <w:color w:val="auto"/>
          <w:sz w:val="30"/>
          <w:szCs w:val="30"/>
          <w:lang w:val="en-US" w:eastAsia="zh-CN"/>
        </w:rPr>
        <w:t>激光技术</w:t>
      </w:r>
      <w:r>
        <w:rPr>
          <w:rFonts w:hint="eastAsia" w:ascii="仿宋_GB2312" w:hAnsi="仿宋_GB2312" w:eastAsia="仿宋_GB2312" w:cs="仿宋_GB2312"/>
          <w:b/>
          <w:bCs/>
          <w:color w:val="auto"/>
          <w:sz w:val="30"/>
          <w:szCs w:val="30"/>
        </w:rPr>
        <w:t>赛项报到回执单</w:t>
      </w:r>
    </w:p>
    <w:p>
      <w:pPr>
        <w:spacing w:line="339" w:lineRule="auto"/>
        <w:rPr>
          <w:rFonts w:ascii="仿宋_GB2312" w:hAnsi="仿宋_GB2312" w:eastAsia="仿宋_GB2312" w:cs="仿宋_GB2312"/>
          <w:color w:val="auto"/>
          <w:sz w:val="24"/>
        </w:rPr>
      </w:pPr>
      <w:r>
        <w:rPr>
          <w:rFonts w:hint="eastAsia" w:ascii="仿宋_GB2312" w:hAnsi="仿宋_GB2312" w:eastAsia="仿宋_GB2312" w:cs="仿宋_GB2312"/>
          <w:color w:val="auto"/>
          <w:sz w:val="24"/>
        </w:rPr>
        <w:t xml:space="preserve">省市： </w:t>
      </w:r>
      <w:r>
        <w:rPr>
          <w:rFonts w:hint="eastAsia" w:ascii="仿宋_GB2312" w:hAnsi="仿宋_GB2312" w:eastAsia="仿宋_GB2312" w:cs="仿宋_GB2312"/>
          <w:color w:val="auto"/>
          <w:sz w:val="24"/>
          <w:u w:val="single"/>
        </w:rPr>
        <w:t xml:space="preserve">                      </w:t>
      </w:r>
    </w:p>
    <w:p>
      <w:pPr>
        <w:spacing w:line="339" w:lineRule="auto"/>
        <w:rPr>
          <w:rFonts w:ascii="仿宋_GB2312" w:hAnsi="仿宋_GB2312" w:eastAsia="仿宋_GB2312" w:cs="仿宋_GB2312"/>
          <w:color w:val="auto"/>
          <w:sz w:val="24"/>
        </w:rPr>
      </w:pPr>
      <w:r>
        <w:rPr>
          <w:rFonts w:hint="eastAsia" w:ascii="仿宋_GB2312" w:hAnsi="仿宋_GB2312" w:eastAsia="仿宋_GB2312" w:cs="仿宋_GB2312"/>
          <w:color w:val="auto"/>
          <w:sz w:val="24"/>
        </w:rPr>
        <w:t>代表队（学校）名称：</w:t>
      </w:r>
      <w:r>
        <w:rPr>
          <w:rFonts w:hint="eastAsia" w:ascii="仿宋_GB2312" w:hAnsi="仿宋_GB2312" w:eastAsia="仿宋_GB2312" w:cs="仿宋_GB2312"/>
          <w:color w:val="auto"/>
          <w:sz w:val="24"/>
          <w:u w:val="single"/>
        </w:rPr>
        <w:t xml:space="preserve">                                         </w:t>
      </w:r>
    </w:p>
    <w:tbl>
      <w:tblPr>
        <w:tblStyle w:val="13"/>
        <w:tblW w:w="5063" w:type="pct"/>
        <w:jc w:val="center"/>
        <w:tblLayout w:type="autofit"/>
        <w:tblCellMar>
          <w:top w:w="0" w:type="dxa"/>
          <w:left w:w="0" w:type="dxa"/>
          <w:bottom w:w="0" w:type="dxa"/>
          <w:right w:w="0" w:type="dxa"/>
        </w:tblCellMar>
      </w:tblPr>
      <w:tblGrid>
        <w:gridCol w:w="1433"/>
        <w:gridCol w:w="1293"/>
        <w:gridCol w:w="1150"/>
        <w:gridCol w:w="1390"/>
        <w:gridCol w:w="1734"/>
        <w:gridCol w:w="2070"/>
      </w:tblGrid>
      <w:tr>
        <w:tblPrEx>
          <w:tblCellMar>
            <w:top w:w="0" w:type="dxa"/>
            <w:left w:w="0" w:type="dxa"/>
            <w:bottom w:w="0" w:type="dxa"/>
            <w:right w:w="0" w:type="dxa"/>
          </w:tblCellMar>
        </w:tblPrEx>
        <w:trPr>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人员类别</w:t>
            </w:r>
          </w:p>
        </w:tc>
        <w:tc>
          <w:tcPr>
            <w:tcW w:w="713"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姓名</w:t>
            </w: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性别</w:t>
            </w: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联系方式</w:t>
            </w: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参赛服装号码</w:t>
            </w:r>
          </w:p>
        </w:tc>
        <w:tc>
          <w:tcPr>
            <w:tcW w:w="114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房间数</w:t>
            </w:r>
          </w:p>
        </w:tc>
      </w:tr>
      <w:tr>
        <w:tblPrEx>
          <w:tblCellMar>
            <w:top w:w="0" w:type="dxa"/>
            <w:left w:w="0" w:type="dxa"/>
            <w:bottom w:w="0" w:type="dxa"/>
            <w:right w:w="0" w:type="dxa"/>
          </w:tblCellMar>
        </w:tblPrEx>
        <w:trPr>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领队</w:t>
            </w:r>
          </w:p>
        </w:tc>
        <w:tc>
          <w:tcPr>
            <w:tcW w:w="713"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1141" w:type="pct"/>
            <w:vMerge w:val="restart"/>
            <w:tcBorders>
              <w:top w:val="single" w:color="auto" w:sz="4" w:space="0"/>
              <w:left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标准间</w:t>
            </w:r>
            <w:r>
              <w:rPr>
                <w:rFonts w:hint="eastAsia" w:ascii="仿宋_GB2312" w:hAnsi="仿宋_GB2312" w:eastAsia="仿宋_GB2312" w:cs="仿宋_GB2312"/>
                <w:color w:val="auto"/>
                <w:sz w:val="24"/>
                <w:u w:val="single"/>
              </w:rPr>
              <w:t xml:space="preserve"> </w:t>
            </w:r>
            <w:r>
              <w:rPr>
                <w:rFonts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间</w:t>
            </w:r>
          </w:p>
          <w:p>
            <w:pPr>
              <w:spacing w:line="339" w:lineRule="auto"/>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单人间</w:t>
            </w:r>
            <w:r>
              <w:rPr>
                <w:rFonts w:hint="eastAsia" w:ascii="仿宋_GB2312" w:hAnsi="仿宋_GB2312" w:eastAsia="仿宋_GB2312" w:cs="仿宋_GB2312"/>
                <w:color w:val="auto"/>
                <w:sz w:val="24"/>
                <w:u w:val="single"/>
              </w:rPr>
              <w:t xml:space="preserve"> </w:t>
            </w:r>
            <w:r>
              <w:rPr>
                <w:rFonts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间</w:t>
            </w:r>
          </w:p>
          <w:p>
            <w:pPr>
              <w:spacing w:line="339" w:lineRule="auto"/>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lang w:val="en-US" w:eastAsia="zh-CN"/>
              </w:rPr>
              <w:t>计划抵达日期：</w:t>
            </w:r>
          </w:p>
          <w:p>
            <w:pPr>
              <w:spacing w:line="339" w:lineRule="auto"/>
              <w:jc w:val="center"/>
              <w:rPr>
                <w:rFonts w:hint="default" w:ascii="仿宋_GB2312" w:hAnsi="仿宋_GB2312" w:eastAsia="仿宋_GB2312" w:cs="仿宋_GB2312"/>
                <w:color w:val="auto"/>
                <w:sz w:val="24"/>
                <w:u w:val="single"/>
                <w:lang w:val="en-US" w:eastAsia="zh-CN"/>
              </w:rPr>
            </w:pPr>
            <w:r>
              <w:rPr>
                <w:rFonts w:hint="eastAsia" w:ascii="仿宋_GB2312" w:hAnsi="仿宋_GB2312" w:eastAsia="仿宋_GB2312" w:cs="仿宋_GB2312"/>
                <w:color w:val="auto"/>
                <w:sz w:val="24"/>
                <w:lang w:val="en-US" w:eastAsia="zh-CN"/>
              </w:rPr>
              <w:t>11月</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none"/>
                <w:lang w:val="en-US" w:eastAsia="zh-CN"/>
              </w:rPr>
              <w:t>日</w:t>
            </w:r>
          </w:p>
        </w:tc>
      </w:tr>
      <w:tr>
        <w:tblPrEx>
          <w:tblCellMar>
            <w:top w:w="0" w:type="dxa"/>
            <w:left w:w="0" w:type="dxa"/>
            <w:bottom w:w="0" w:type="dxa"/>
            <w:right w:w="0" w:type="dxa"/>
          </w:tblCellMar>
        </w:tblPrEx>
        <w:trPr>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指导教师</w:t>
            </w:r>
          </w:p>
        </w:tc>
        <w:tc>
          <w:tcPr>
            <w:tcW w:w="713"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1141" w:type="pct"/>
            <w:vMerge w:val="continue"/>
            <w:tcBorders>
              <w:left w:val="single" w:color="auto" w:sz="4" w:space="0"/>
              <w:right w:val="single" w:color="auto" w:sz="4" w:space="0"/>
            </w:tcBorders>
            <w:tcMar>
              <w:top w:w="0" w:type="dxa"/>
              <w:left w:w="108" w:type="dxa"/>
              <w:bottom w:w="0" w:type="dxa"/>
              <w:right w:w="108" w:type="dxa"/>
            </w:tcMar>
            <w:vAlign w:val="center"/>
          </w:tcPr>
          <w:p>
            <w:pPr>
              <w:spacing w:line="339" w:lineRule="auto"/>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裁判</w:t>
            </w:r>
          </w:p>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裁教一体</w:t>
            </w:r>
            <w:r>
              <w:rPr>
                <w:rFonts w:hint="eastAsia" w:ascii="仿宋_GB2312" w:hAnsi="仿宋_GB2312" w:eastAsia="仿宋_GB2312" w:cs="仿宋_GB2312"/>
                <w:color w:val="auto"/>
                <w:sz w:val="24"/>
                <w:lang w:eastAsia="zh-CN"/>
              </w:rPr>
              <w:t>）</w:t>
            </w:r>
          </w:p>
        </w:tc>
        <w:tc>
          <w:tcPr>
            <w:tcW w:w="713"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1141" w:type="pct"/>
            <w:vMerge w:val="continue"/>
            <w:tcBorders>
              <w:left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选手1</w:t>
            </w:r>
          </w:p>
        </w:tc>
        <w:tc>
          <w:tcPr>
            <w:tcW w:w="713"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1141" w:type="pct"/>
            <w:vMerge w:val="continue"/>
            <w:tcBorders>
              <w:left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选手2</w:t>
            </w:r>
          </w:p>
        </w:tc>
        <w:tc>
          <w:tcPr>
            <w:tcW w:w="713"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63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76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956"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c>
          <w:tcPr>
            <w:tcW w:w="1141" w:type="pct"/>
            <w:vMerge w:val="continue"/>
            <w:tcBorders>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hAnsi="仿宋_GB2312" w:eastAsia="仿宋_GB2312" w:cs="仿宋_GB2312"/>
                <w:color w:val="auto"/>
                <w:sz w:val="24"/>
              </w:rPr>
            </w:pPr>
          </w:p>
        </w:tc>
      </w:tr>
      <w:tr>
        <w:tblPrEx>
          <w:tblCellMar>
            <w:top w:w="0" w:type="dxa"/>
            <w:left w:w="0" w:type="dxa"/>
            <w:bottom w:w="0" w:type="dxa"/>
            <w:right w:w="0" w:type="dxa"/>
          </w:tblCellMar>
        </w:tblPrEx>
        <w:trPr>
          <w:cantSplit/>
          <w:trHeight w:val="737" w:hRule="atLeast"/>
          <w:jc w:val="center"/>
        </w:trPr>
        <w:tc>
          <w:tcPr>
            <w:tcW w:w="7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饮食特</w:t>
            </w:r>
          </w:p>
          <w:p>
            <w:pPr>
              <w:adjustRightInd w:val="0"/>
              <w:snapToGrid w:val="0"/>
              <w:jc w:val="center"/>
              <w:rPr>
                <w:rFonts w:ascii="仿宋_GB2312" w:hAnsi="仿宋_GB2312" w:eastAsia="仿宋_GB2312" w:cs="仿宋_GB2312"/>
                <w:color w:val="auto"/>
                <w:sz w:val="24"/>
              </w:rPr>
            </w:pPr>
            <w:r>
              <w:rPr>
                <w:rFonts w:hint="eastAsia" w:ascii="仿宋_GB2312" w:hAnsi="仿宋_GB2312" w:eastAsia="仿宋_GB2312" w:cs="仿宋_GB2312"/>
                <w:color w:val="auto"/>
                <w:sz w:val="24"/>
              </w:rPr>
              <w:t>殊禁忌</w:t>
            </w:r>
          </w:p>
        </w:tc>
        <w:tc>
          <w:tcPr>
            <w:tcW w:w="4210" w:type="pct"/>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color w:val="auto"/>
                <w:sz w:val="24"/>
                <w:u w:val="single"/>
              </w:rPr>
            </w:pPr>
          </w:p>
        </w:tc>
      </w:tr>
    </w:tbl>
    <w:p>
      <w:pPr>
        <w:spacing w:line="276" w:lineRule="auto"/>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注：</w:t>
      </w:r>
      <w:r>
        <w:rPr>
          <w:rFonts w:hint="eastAsia" w:ascii="仿宋_GB2312" w:hAnsi="仿宋_GB2312" w:eastAsia="仿宋_GB2312" w:cs="仿宋_GB2312"/>
          <w:b/>
          <w:bCs/>
          <w:color w:val="auto"/>
          <w:sz w:val="24"/>
          <w:szCs w:val="24"/>
          <w:lang w:val="en-US" w:eastAsia="zh-CN"/>
        </w:rPr>
        <w:t>一、</w:t>
      </w:r>
      <w:r>
        <w:rPr>
          <w:rFonts w:hint="eastAsia" w:ascii="仿宋_GB2312" w:hAnsi="仿宋_GB2312" w:eastAsia="仿宋_GB2312" w:cs="仿宋_GB2312"/>
          <w:color w:val="auto"/>
          <w:sz w:val="24"/>
          <w:szCs w:val="24"/>
        </w:rPr>
        <w:t>回执表需在</w:t>
      </w:r>
      <w:r>
        <w:rPr>
          <w:rFonts w:hint="eastAsia" w:ascii="仿宋_GB2312" w:hAnsi="仿宋_GB2312" w:eastAsia="仿宋_GB2312" w:cs="仿宋_GB2312"/>
          <w:color w:val="auto"/>
          <w:sz w:val="24"/>
          <w:szCs w:val="24"/>
          <w:highlight w:val="none"/>
        </w:rPr>
        <w:t>202</w:t>
      </w:r>
      <w:r>
        <w:rPr>
          <w:rFonts w:ascii="仿宋_GB2312" w:hAnsi="仿宋_GB2312" w:eastAsia="仿宋_GB2312" w:cs="仿宋_GB2312"/>
          <w:color w:val="auto"/>
          <w:sz w:val="24"/>
          <w:szCs w:val="24"/>
          <w:highlight w:val="none"/>
        </w:rPr>
        <w:t>1</w:t>
      </w:r>
      <w:r>
        <w:rPr>
          <w:rFonts w:hint="eastAsia" w:ascii="仿宋_GB2312" w:hAnsi="仿宋_GB2312" w:eastAsia="仿宋_GB2312" w:cs="仿宋_GB2312"/>
          <w:color w:val="auto"/>
          <w:sz w:val="24"/>
          <w:szCs w:val="24"/>
          <w:highlight w:val="none"/>
        </w:rPr>
        <w:t>年</w:t>
      </w:r>
      <w:r>
        <w:rPr>
          <w:rFonts w:hint="eastAsia" w:ascii="仿宋_GB2312" w:hAnsi="仿宋_GB2312" w:eastAsia="仿宋_GB2312" w:cs="仿宋_GB2312"/>
          <w:color w:val="auto"/>
          <w:sz w:val="24"/>
          <w:szCs w:val="24"/>
          <w:highlight w:val="none"/>
          <w:lang w:val="en-US" w:eastAsia="zh-CN"/>
        </w:rPr>
        <w:t>10</w:t>
      </w:r>
      <w:r>
        <w:rPr>
          <w:rFonts w:hint="eastAsia" w:ascii="仿宋_GB2312" w:hAnsi="仿宋_GB2312" w:eastAsia="仿宋_GB2312" w:cs="仿宋_GB2312"/>
          <w:color w:val="auto"/>
          <w:sz w:val="24"/>
          <w:szCs w:val="24"/>
          <w:highlight w:val="none"/>
        </w:rPr>
        <w:t>月</w:t>
      </w:r>
      <w:r>
        <w:rPr>
          <w:rFonts w:hint="eastAsia" w:ascii="仿宋_GB2312" w:hAnsi="仿宋_GB2312" w:eastAsia="仿宋_GB2312" w:cs="仿宋_GB2312"/>
          <w:color w:val="auto"/>
          <w:sz w:val="24"/>
          <w:szCs w:val="24"/>
          <w:highlight w:val="none"/>
          <w:lang w:val="en-US" w:eastAsia="zh-CN"/>
        </w:rPr>
        <w:t>31</w:t>
      </w:r>
      <w:r>
        <w:rPr>
          <w:rFonts w:hint="eastAsia" w:ascii="仿宋_GB2312" w:hAnsi="仿宋_GB2312" w:eastAsia="仿宋_GB2312" w:cs="仿宋_GB2312"/>
          <w:color w:val="auto"/>
          <w:sz w:val="24"/>
          <w:szCs w:val="24"/>
          <w:highlight w:val="none"/>
        </w:rPr>
        <w:t>日</w:t>
      </w:r>
      <w:r>
        <w:rPr>
          <w:rFonts w:hint="eastAsia" w:ascii="仿宋_GB2312" w:hAnsi="仿宋_GB2312" w:eastAsia="仿宋_GB2312" w:cs="仿宋_GB2312"/>
          <w:color w:val="auto"/>
          <w:sz w:val="24"/>
          <w:szCs w:val="24"/>
        </w:rPr>
        <w:t>之前回复邮箱</w:t>
      </w:r>
      <w:r>
        <w:rPr>
          <w:rFonts w:hint="eastAsia" w:ascii="仿宋_GB2312" w:hAnsi="仿宋_GB2312" w:eastAsia="仿宋_GB2312" w:cs="仿宋_GB2312"/>
          <w:color w:val="auto"/>
          <w:sz w:val="24"/>
          <w:szCs w:val="24"/>
          <w:lang w:val="en-US" w:eastAsia="zh-CN"/>
        </w:rPr>
        <w:t>xzykywsc</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126</w:t>
      </w:r>
      <w:r>
        <w:rPr>
          <w:rFonts w:hint="eastAsia" w:ascii="仿宋_GB2312" w:hAnsi="仿宋_GB2312" w:eastAsia="仿宋_GB2312" w:cs="仿宋_GB2312"/>
          <w:color w:val="auto"/>
          <w:sz w:val="24"/>
          <w:szCs w:val="24"/>
        </w:rPr>
        <w:t>.com。若不回复，参赛服装号码默认均码。参赛服装号码： M/165cm L/17cm0 xL/17cm5 xxL/180cm xxxL/185cm</w:t>
      </w:r>
    </w:p>
    <w:p>
      <w:pPr>
        <w:pStyle w:val="3"/>
        <w:snapToGrid/>
        <w:spacing w:before="0" w:after="0" w:line="336" w:lineRule="auto"/>
        <w:rPr>
          <w:rFonts w:ascii="仿宋" w:hAnsi="仿宋" w:eastAsia="仿宋"/>
          <w:color w:val="auto"/>
          <w:sz w:val="24"/>
          <w:szCs w:val="24"/>
        </w:rPr>
      </w:pPr>
      <w:r>
        <w:rPr>
          <w:rFonts w:ascii="仿宋_GB2312" w:hAnsi="仿宋_GB2312" w:eastAsia="仿宋_GB2312" w:cs="仿宋_GB2312"/>
          <w:color w:val="auto"/>
          <w:sz w:val="24"/>
          <w:szCs w:val="24"/>
        </w:rPr>
        <w:t xml:space="preserve"> </w:t>
      </w:r>
      <w:bookmarkStart w:id="0" w:name="_Toc10103940"/>
      <w:r>
        <w:rPr>
          <w:rFonts w:hint="eastAsia" w:ascii="仿宋_GB2312" w:hAnsi="仿宋_GB2312" w:eastAsia="仿宋_GB2312" w:cs="仿宋_GB2312"/>
          <w:color w:val="auto"/>
          <w:sz w:val="24"/>
          <w:szCs w:val="24"/>
          <w:lang w:val="en-US" w:eastAsia="zh-CN"/>
        </w:rPr>
        <w:t xml:space="preserve"> 二、</w:t>
      </w:r>
      <w:r>
        <w:rPr>
          <w:rFonts w:hint="eastAsia" w:ascii="仿宋" w:hAnsi="仿宋" w:eastAsia="仿宋"/>
          <w:color w:val="auto"/>
          <w:sz w:val="24"/>
          <w:szCs w:val="24"/>
        </w:rPr>
        <w:t>参赛队报到接待时间</w:t>
      </w:r>
      <w:bookmarkEnd w:id="0"/>
    </w:p>
    <w:p>
      <w:pPr>
        <w:tabs>
          <w:tab w:val="left" w:pos="1620"/>
          <w:tab w:val="left" w:pos="3210"/>
        </w:tabs>
        <w:snapToGrid/>
        <w:spacing w:after="0" w:line="336" w:lineRule="auto"/>
        <w:ind w:firstLine="480" w:firstLineChars="200"/>
        <w:rPr>
          <w:rFonts w:ascii="仿宋" w:hAnsi="仿宋" w:eastAsia="仿宋"/>
          <w:color w:val="auto"/>
          <w:sz w:val="24"/>
          <w:szCs w:val="24"/>
        </w:rPr>
      </w:pPr>
      <w:r>
        <w:rPr>
          <w:rFonts w:ascii="仿宋" w:hAnsi="仿宋" w:eastAsia="仿宋"/>
          <w:color w:val="auto"/>
          <w:sz w:val="24"/>
          <w:szCs w:val="24"/>
        </w:rPr>
        <w:t>20</w:t>
      </w:r>
      <w:r>
        <w:rPr>
          <w:rFonts w:hint="eastAsia" w:ascii="仿宋" w:hAnsi="仿宋" w:eastAsia="仿宋"/>
          <w:color w:val="auto"/>
          <w:sz w:val="24"/>
          <w:szCs w:val="24"/>
          <w:lang w:val="en-US" w:eastAsia="zh-CN"/>
        </w:rPr>
        <w:t>21</w:t>
      </w:r>
      <w:r>
        <w:rPr>
          <w:rFonts w:hint="eastAsia" w:ascii="仿宋" w:hAnsi="仿宋" w:eastAsia="仿宋"/>
          <w:color w:val="auto"/>
          <w:sz w:val="24"/>
          <w:szCs w:val="24"/>
        </w:rPr>
        <w:t>年</w:t>
      </w:r>
      <w:r>
        <w:rPr>
          <w:rFonts w:hint="eastAsia" w:ascii="仿宋" w:hAnsi="仿宋" w:eastAsia="仿宋"/>
          <w:color w:val="auto"/>
          <w:sz w:val="24"/>
          <w:szCs w:val="24"/>
          <w:lang w:val="en-US" w:eastAsia="zh-CN"/>
        </w:rPr>
        <w:t>11</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25</w:t>
      </w:r>
      <w:r>
        <w:rPr>
          <w:rFonts w:hint="eastAsia" w:ascii="仿宋" w:hAnsi="仿宋" w:eastAsia="仿宋"/>
          <w:color w:val="auto"/>
          <w:sz w:val="24"/>
          <w:szCs w:val="24"/>
        </w:rPr>
        <w:t>日</w:t>
      </w:r>
      <w:r>
        <w:rPr>
          <w:rFonts w:hint="eastAsia" w:ascii="仿宋" w:hAnsi="仿宋" w:eastAsia="仿宋"/>
          <w:color w:val="auto"/>
          <w:sz w:val="24"/>
          <w:szCs w:val="24"/>
          <w:lang w:val="en-US" w:eastAsia="zh-CN"/>
        </w:rPr>
        <w:t>9</w:t>
      </w:r>
      <w:r>
        <w:rPr>
          <w:rFonts w:ascii="仿宋" w:hAnsi="仿宋" w:eastAsia="仿宋"/>
          <w:color w:val="auto"/>
          <w:sz w:val="24"/>
          <w:szCs w:val="24"/>
        </w:rPr>
        <w:t>:00—</w:t>
      </w:r>
      <w:r>
        <w:rPr>
          <w:rFonts w:hint="eastAsia" w:ascii="仿宋" w:hAnsi="仿宋" w:eastAsia="仿宋"/>
          <w:color w:val="auto"/>
          <w:sz w:val="24"/>
          <w:szCs w:val="24"/>
          <w:lang w:val="en-US" w:eastAsia="zh-CN"/>
        </w:rPr>
        <w:t>11</w:t>
      </w:r>
      <w:r>
        <w:rPr>
          <w:rFonts w:hint="eastAsia" w:ascii="仿宋" w:hAnsi="仿宋" w:eastAsia="仿宋"/>
          <w:color w:val="auto"/>
          <w:sz w:val="24"/>
          <w:szCs w:val="24"/>
        </w:rPr>
        <w:t>月</w:t>
      </w:r>
      <w:r>
        <w:rPr>
          <w:rFonts w:hint="eastAsia" w:ascii="仿宋" w:hAnsi="仿宋" w:eastAsia="仿宋"/>
          <w:color w:val="auto"/>
          <w:sz w:val="24"/>
          <w:szCs w:val="24"/>
          <w:lang w:val="en-US" w:eastAsia="zh-CN"/>
        </w:rPr>
        <w:t>26</w:t>
      </w:r>
      <w:r>
        <w:rPr>
          <w:rFonts w:hint="eastAsia" w:ascii="仿宋" w:hAnsi="仿宋" w:eastAsia="仿宋"/>
          <w:color w:val="auto"/>
          <w:sz w:val="24"/>
          <w:szCs w:val="24"/>
        </w:rPr>
        <w:t>日</w:t>
      </w:r>
      <w:r>
        <w:rPr>
          <w:rFonts w:ascii="仿宋" w:hAnsi="仿宋" w:eastAsia="仿宋"/>
          <w:color w:val="auto"/>
          <w:sz w:val="24"/>
          <w:szCs w:val="24"/>
        </w:rPr>
        <w:t>1</w:t>
      </w:r>
      <w:r>
        <w:rPr>
          <w:rFonts w:hint="eastAsia" w:ascii="仿宋" w:hAnsi="仿宋" w:eastAsia="仿宋"/>
          <w:color w:val="auto"/>
          <w:sz w:val="24"/>
          <w:szCs w:val="24"/>
          <w:lang w:val="en-US" w:eastAsia="zh-CN"/>
        </w:rPr>
        <w:t>2</w:t>
      </w:r>
      <w:r>
        <w:rPr>
          <w:rFonts w:ascii="仿宋" w:hAnsi="仿宋" w:eastAsia="仿宋"/>
          <w:color w:val="auto"/>
          <w:sz w:val="24"/>
          <w:szCs w:val="24"/>
        </w:rPr>
        <w:t>:00</w:t>
      </w:r>
    </w:p>
    <w:p>
      <w:pPr>
        <w:pStyle w:val="3"/>
        <w:numPr>
          <w:ilvl w:val="0"/>
          <w:numId w:val="1"/>
        </w:numPr>
        <w:snapToGrid/>
        <w:spacing w:before="0" w:after="0" w:line="336" w:lineRule="auto"/>
        <w:ind w:firstLine="241" w:firstLineChars="100"/>
        <w:rPr>
          <w:rFonts w:hint="eastAsia" w:ascii="仿宋" w:hAnsi="仿宋" w:eastAsia="仿宋"/>
          <w:color w:val="auto"/>
          <w:sz w:val="24"/>
          <w:szCs w:val="24"/>
        </w:rPr>
      </w:pPr>
      <w:bookmarkStart w:id="1" w:name="_Toc10103941"/>
      <w:r>
        <w:rPr>
          <w:rFonts w:hint="eastAsia" w:ascii="仿宋" w:hAnsi="仿宋" w:eastAsia="仿宋"/>
          <w:color w:val="auto"/>
          <w:sz w:val="24"/>
          <w:szCs w:val="24"/>
        </w:rPr>
        <w:t>交通</w:t>
      </w:r>
      <w:bookmarkEnd w:id="1"/>
      <w:r>
        <w:rPr>
          <w:rFonts w:hint="eastAsia" w:ascii="仿宋" w:hAnsi="仿宋" w:eastAsia="仿宋"/>
          <w:color w:val="auto"/>
          <w:sz w:val="24"/>
          <w:szCs w:val="24"/>
          <w:lang w:val="en-US" w:eastAsia="zh-CN"/>
        </w:rPr>
        <w:t>路线</w:t>
      </w:r>
    </w:p>
    <w:p>
      <w:pPr>
        <w:ind w:firstLine="480" w:firstLineChars="200"/>
        <w:rPr>
          <w:rFonts w:hint="eastAsia" w:ascii="仿宋" w:hAnsi="仿宋" w:eastAsia="仿宋"/>
          <w:color w:val="auto"/>
          <w:sz w:val="24"/>
          <w:szCs w:val="24"/>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1</w:t>
      </w:r>
      <w:r>
        <w:rPr>
          <w:rFonts w:hint="eastAsia" w:ascii="仿宋" w:hAnsi="仿宋" w:eastAsia="仿宋"/>
          <w:color w:val="auto"/>
          <w:sz w:val="24"/>
          <w:szCs w:val="24"/>
          <w:lang w:eastAsia="zh-CN"/>
        </w:rPr>
        <w:t>）</w:t>
      </w:r>
      <w:r>
        <w:rPr>
          <w:rFonts w:hint="eastAsia" w:ascii="仿宋" w:hAnsi="仿宋" w:eastAsia="仿宋"/>
          <w:color w:val="auto"/>
          <w:sz w:val="24"/>
          <w:szCs w:val="24"/>
        </w:rPr>
        <w:t>新郑机场：乘坐</w:t>
      </w:r>
      <w:r>
        <w:rPr>
          <w:rFonts w:hint="eastAsia" w:ascii="仿宋" w:hAnsi="仿宋" w:eastAsia="仿宋"/>
          <w:color w:val="auto"/>
          <w:sz w:val="24"/>
          <w:szCs w:val="24"/>
          <w:lang w:val="en-US" w:eastAsia="zh-CN"/>
        </w:rPr>
        <w:t>机场巴士</w:t>
      </w:r>
      <w:r>
        <w:rPr>
          <w:rFonts w:hint="eastAsia" w:ascii="仿宋" w:hAnsi="仿宋" w:eastAsia="仿宋"/>
          <w:color w:val="auto"/>
          <w:sz w:val="24"/>
          <w:szCs w:val="24"/>
        </w:rPr>
        <w:t>到</w:t>
      </w:r>
      <w:r>
        <w:rPr>
          <w:rFonts w:hint="eastAsia" w:ascii="仿宋" w:hAnsi="仿宋" w:eastAsia="仿宋"/>
          <w:color w:val="auto"/>
          <w:sz w:val="24"/>
          <w:szCs w:val="24"/>
          <w:lang w:val="en-US" w:eastAsia="zh-CN"/>
        </w:rPr>
        <w:t>许昌候机楼</w:t>
      </w:r>
      <w:r>
        <w:rPr>
          <w:rFonts w:hint="eastAsia" w:ascii="仿宋" w:hAnsi="仿宋" w:eastAsia="仿宋"/>
          <w:color w:val="auto"/>
          <w:sz w:val="24"/>
          <w:szCs w:val="24"/>
        </w:rPr>
        <w:t>→</w:t>
      </w:r>
      <w:r>
        <w:rPr>
          <w:rFonts w:hint="eastAsia" w:ascii="仿宋" w:hAnsi="仿宋" w:eastAsia="仿宋"/>
          <w:color w:val="auto"/>
          <w:sz w:val="24"/>
          <w:szCs w:val="24"/>
          <w:lang w:val="en-US" w:eastAsia="zh-CN"/>
        </w:rPr>
        <w:t>步行225米到高铁东站公交站点坐2路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八一路德星路口下车，步行133米到福港大酒店北门；或者步行164米到高铁东站公交站点坐11路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学院路八一路南口下车，步行436米福港大酒店北门。打车约6元。</w:t>
      </w:r>
    </w:p>
    <w:p>
      <w:pPr>
        <w:ind w:firstLine="480" w:firstLineChars="200"/>
        <w:rPr>
          <w:rFonts w:hint="default" w:ascii="仿宋" w:hAnsi="仿宋" w:eastAsia="仿宋"/>
          <w:color w:val="auto"/>
          <w:sz w:val="24"/>
          <w:szCs w:val="24"/>
          <w:lang w:val="en-US" w:eastAsia="zh-CN"/>
        </w:rPr>
      </w:pP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2</w:t>
      </w:r>
      <w:r>
        <w:rPr>
          <w:rFonts w:hint="eastAsia" w:ascii="仿宋" w:hAnsi="仿宋" w:eastAsia="仿宋"/>
          <w:color w:val="auto"/>
          <w:sz w:val="24"/>
          <w:szCs w:val="24"/>
          <w:lang w:eastAsia="zh-CN"/>
        </w:rPr>
        <w:t>）</w:t>
      </w:r>
      <w:r>
        <w:rPr>
          <w:rFonts w:hint="eastAsia" w:ascii="仿宋" w:hAnsi="仿宋" w:eastAsia="仿宋"/>
          <w:color w:val="auto"/>
          <w:sz w:val="24"/>
          <w:szCs w:val="24"/>
          <w:lang w:val="en-US" w:eastAsia="zh-CN"/>
        </w:rPr>
        <w:t>许昌高铁东站</w:t>
      </w:r>
      <w:r>
        <w:rPr>
          <w:rFonts w:hint="eastAsia" w:ascii="仿宋" w:hAnsi="仿宋" w:eastAsia="仿宋"/>
          <w:color w:val="auto"/>
          <w:sz w:val="24"/>
          <w:szCs w:val="24"/>
        </w:rPr>
        <w:t>→</w:t>
      </w:r>
      <w:r>
        <w:rPr>
          <w:rFonts w:hint="eastAsia" w:ascii="仿宋" w:hAnsi="仿宋" w:eastAsia="仿宋"/>
          <w:color w:val="auto"/>
          <w:sz w:val="24"/>
          <w:szCs w:val="24"/>
          <w:lang w:val="en-US" w:eastAsia="zh-CN"/>
        </w:rPr>
        <w:t>高铁东站公交站点坐2路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八一路德星路口下车，步行133米到福港大酒店北门；或者高铁东站公交站点坐11路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学院路八一路南口下车，步行436米福港大酒店北门。打车约6元。</w:t>
      </w:r>
    </w:p>
    <w:p>
      <w:pPr>
        <w:ind w:firstLine="480" w:firstLineChars="200"/>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（3）许昌站</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出站步行138米到火车汽车站（盐业公司）站坐直3路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市移动公司，步行444米到福港大酒店北门；或者步行135米到火车站公交枢纽坐11路</w:t>
      </w:r>
      <w:r>
        <w:rPr>
          <w:rFonts w:hint="eastAsia" w:ascii="仿宋" w:hAnsi="仿宋" w:eastAsia="仿宋"/>
          <w:color w:val="auto"/>
          <w:sz w:val="24"/>
          <w:szCs w:val="24"/>
        </w:rPr>
        <w:t>→</w:t>
      </w:r>
      <w:r>
        <w:rPr>
          <w:rFonts w:hint="eastAsia" w:ascii="仿宋" w:hAnsi="仿宋" w:eastAsia="仿宋"/>
          <w:color w:val="auto"/>
          <w:sz w:val="24"/>
          <w:szCs w:val="24"/>
          <w:lang w:val="en-US" w:eastAsia="zh-CN"/>
        </w:rPr>
        <w:t>学院路八一路南口下车，步行416米福港大酒店北门。打车约12元。</w:t>
      </w:r>
    </w:p>
    <w:p>
      <w:pPr>
        <w:ind w:firstLine="480" w:firstLineChars="200"/>
        <w:rPr>
          <w:rFonts w:hint="eastAsia" w:ascii="仿宋" w:hAnsi="仿宋" w:eastAsia="仿宋"/>
          <w:color w:val="auto"/>
          <w:sz w:val="24"/>
          <w:szCs w:val="24"/>
          <w:lang w:val="en-US" w:eastAsia="zh-CN"/>
        </w:rPr>
      </w:pPr>
    </w:p>
    <w:p>
      <w:pPr>
        <w:ind w:firstLine="480" w:firstLineChars="200"/>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许昌职业技术学院将在福港大酒店一楼安排志愿者对接各参赛院校领队和指导教师，做好接待工作。</w:t>
      </w:r>
    </w:p>
    <w:p>
      <w:pPr>
        <w:pStyle w:val="3"/>
        <w:snapToGrid/>
        <w:spacing w:before="0" w:after="0" w:line="336" w:lineRule="auto"/>
        <w:ind w:firstLine="482" w:firstLineChars="200"/>
        <w:rPr>
          <w:rFonts w:ascii="仿宋" w:hAnsi="仿宋" w:eastAsia="仿宋"/>
          <w:color w:val="auto"/>
          <w:sz w:val="24"/>
          <w:szCs w:val="24"/>
        </w:rPr>
      </w:pPr>
      <w:bookmarkStart w:id="2" w:name="_Toc10103942"/>
      <w:r>
        <w:rPr>
          <w:rFonts w:hint="eastAsia" w:ascii="仿宋" w:hAnsi="仿宋" w:eastAsia="仿宋"/>
          <w:color w:val="auto"/>
          <w:sz w:val="24"/>
          <w:szCs w:val="24"/>
          <w:lang w:val="en-US" w:eastAsia="zh-CN"/>
        </w:rPr>
        <w:t>四</w:t>
      </w:r>
      <w:r>
        <w:rPr>
          <w:rFonts w:hint="eastAsia" w:ascii="仿宋" w:hAnsi="仿宋" w:eastAsia="仿宋"/>
          <w:color w:val="auto"/>
          <w:sz w:val="24"/>
          <w:szCs w:val="24"/>
        </w:rPr>
        <w:t>、报到手续</w:t>
      </w:r>
      <w:bookmarkEnd w:id="2"/>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lang w:eastAsia="zh-CN"/>
        </w:rPr>
      </w:pPr>
      <w:r>
        <w:rPr>
          <w:rFonts w:hint="eastAsia" w:ascii="仿宋" w:hAnsi="仿宋" w:eastAsia="仿宋" w:cs="宋体"/>
          <w:color w:val="auto"/>
          <w:sz w:val="24"/>
          <w:szCs w:val="24"/>
        </w:rPr>
        <w:t>1.报到时，提交“行程码”“健康码”“参赛人员健康监测统计表”（附件2），“疫情防控个人健康承诺书”（附件3）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48小时内的核酸检测证明</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人身意外伤害保险保单复印件</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核对选手信息，领取参赛证件、赛项指南和参赛服装等</w:t>
      </w:r>
      <w:r>
        <w:rPr>
          <w:rFonts w:hint="eastAsia" w:ascii="仿宋" w:hAnsi="仿宋" w:eastAsia="仿宋" w:cs="宋体"/>
          <w:color w:val="auto"/>
          <w:sz w:val="24"/>
          <w:szCs w:val="24"/>
          <w:lang w:eastAsia="zh-CN"/>
        </w:rPr>
        <w:t>；</w:t>
      </w:r>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lang w:eastAsia="zh-CN"/>
        </w:rPr>
      </w:pPr>
      <w:r>
        <w:rPr>
          <w:rFonts w:ascii="仿宋" w:hAnsi="仿宋" w:eastAsia="仿宋" w:cs="宋体"/>
          <w:color w:val="auto"/>
          <w:sz w:val="24"/>
          <w:szCs w:val="24"/>
        </w:rPr>
        <w:t>2.</w:t>
      </w:r>
      <w:r>
        <w:rPr>
          <w:rFonts w:hint="eastAsia" w:ascii="仿宋" w:hAnsi="仿宋" w:eastAsia="仿宋" w:cs="宋体"/>
          <w:color w:val="auto"/>
          <w:sz w:val="24"/>
          <w:szCs w:val="24"/>
        </w:rPr>
        <w:t>凭身份证登记、安排住宿（食宿费用自理）</w:t>
      </w:r>
      <w:r>
        <w:rPr>
          <w:rFonts w:hint="eastAsia" w:ascii="仿宋" w:hAnsi="仿宋" w:eastAsia="仿宋" w:cs="宋体"/>
          <w:color w:val="auto"/>
          <w:sz w:val="24"/>
          <w:szCs w:val="24"/>
          <w:lang w:eastAsia="zh-CN"/>
        </w:rPr>
        <w:t>。</w:t>
      </w:r>
    </w:p>
    <w:p>
      <w:pPr>
        <w:pStyle w:val="3"/>
        <w:snapToGrid/>
        <w:spacing w:before="0" w:after="0" w:line="336" w:lineRule="auto"/>
        <w:ind w:firstLine="482" w:firstLineChars="200"/>
        <w:rPr>
          <w:rFonts w:ascii="仿宋" w:hAnsi="仿宋" w:eastAsia="仿宋"/>
          <w:color w:val="auto"/>
          <w:sz w:val="24"/>
          <w:szCs w:val="24"/>
        </w:rPr>
      </w:pPr>
      <w:bookmarkStart w:id="3" w:name="_Toc10103943"/>
      <w:r>
        <w:rPr>
          <w:rFonts w:hint="eastAsia" w:ascii="仿宋" w:hAnsi="仿宋" w:eastAsia="仿宋"/>
          <w:color w:val="auto"/>
          <w:sz w:val="24"/>
          <w:szCs w:val="24"/>
          <w:lang w:val="en-US" w:eastAsia="zh-CN"/>
        </w:rPr>
        <w:t>五、</w:t>
      </w:r>
      <w:r>
        <w:rPr>
          <w:rFonts w:hint="eastAsia" w:ascii="仿宋" w:hAnsi="仿宋" w:eastAsia="仿宋"/>
          <w:color w:val="auto"/>
          <w:sz w:val="24"/>
          <w:szCs w:val="24"/>
        </w:rPr>
        <w:t>用餐安排</w:t>
      </w:r>
      <w:bookmarkEnd w:id="3"/>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rPr>
      </w:pPr>
      <w:r>
        <w:rPr>
          <w:rFonts w:hint="eastAsia" w:ascii="仿宋" w:hAnsi="仿宋" w:eastAsia="仿宋" w:cs="宋体"/>
          <w:color w:val="auto"/>
          <w:sz w:val="24"/>
          <w:szCs w:val="24"/>
        </w:rPr>
        <w:t>1.</w:t>
      </w:r>
      <w:r>
        <w:rPr>
          <w:rFonts w:hint="eastAsia" w:ascii="仿宋" w:hAnsi="仿宋" w:eastAsia="仿宋" w:cs="宋体"/>
          <w:color w:val="auto"/>
          <w:sz w:val="24"/>
          <w:szCs w:val="24"/>
          <w:lang w:val="en-US" w:eastAsia="zh-CN"/>
        </w:rPr>
        <w:t xml:space="preserve"> 参赛期间，各参赛队在住宿酒店用餐；</w:t>
      </w:r>
    </w:p>
    <w:p>
      <w:pPr>
        <w:tabs>
          <w:tab w:val="left" w:pos="1620"/>
          <w:tab w:val="left" w:pos="3210"/>
        </w:tabs>
        <w:snapToGrid/>
        <w:spacing w:after="0" w:line="336" w:lineRule="auto"/>
        <w:ind w:firstLine="480" w:firstLineChars="200"/>
        <w:jc w:val="both"/>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.参赛选手和指导教师中如有民族特殊饮食要求，请务必于回执中特殊注明，接待组将根据回执要求进行安排。</w:t>
      </w:r>
    </w:p>
    <w:p>
      <w:pPr>
        <w:adjustRightInd w:val="0"/>
        <w:snapToGrid w:val="0"/>
        <w:rPr>
          <w:rFonts w:hint="eastAsia" w:ascii="仿宋_GB2312" w:hAnsi="仿宋_GB2312" w:eastAsia="仿宋_GB2312" w:cs="仿宋_GB2312"/>
          <w:color w:val="auto"/>
          <w:sz w:val="22"/>
          <w:szCs w:val="22"/>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both"/>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zh-TW" w:eastAsia="zh-TW"/>
        </w:rPr>
      </w:pPr>
    </w:p>
    <w:p>
      <w:pPr>
        <w:widowControl/>
        <w:jc w:val="both"/>
        <w:rPr>
          <w:rFonts w:hint="eastAsia" w:ascii="仿宋_GB2312" w:hAnsi="仿宋_GB2312" w:eastAsia="仿宋_GB2312" w:cs="仿宋_GB2312"/>
          <w:b/>
          <w:bCs/>
          <w:color w:val="auto"/>
          <w:sz w:val="32"/>
          <w:szCs w:val="32"/>
          <w:highlight w:val="none"/>
          <w:lang w:val="zh-TW" w:eastAsia="zh-TW"/>
        </w:rPr>
      </w:pPr>
    </w:p>
    <w:p>
      <w:pPr>
        <w:widowControl/>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zh-TW" w:eastAsia="zh-TW"/>
        </w:rPr>
        <w:t>附件</w:t>
      </w:r>
      <w:r>
        <w:rPr>
          <w:rFonts w:hint="eastAsia" w:ascii="仿宋_GB2312" w:hAnsi="仿宋_GB2312" w:eastAsia="仿宋_GB2312" w:cs="仿宋_GB2312"/>
          <w:b/>
          <w:bCs/>
          <w:color w:val="auto"/>
          <w:sz w:val="32"/>
          <w:szCs w:val="32"/>
          <w:highlight w:val="none"/>
          <w:lang w:val="zh-CN" w:eastAsia="zh-CN"/>
        </w:rPr>
        <w:t>2</w:t>
      </w:r>
      <w:r>
        <w:rPr>
          <w:rFonts w:hint="eastAsia" w:ascii="仿宋_GB2312" w:hAnsi="仿宋_GB2312" w:eastAsia="仿宋_GB2312" w:cs="仿宋_GB2312"/>
          <w:b/>
          <w:bCs/>
          <w:color w:val="auto"/>
          <w:sz w:val="32"/>
          <w:szCs w:val="32"/>
          <w:highlight w:val="none"/>
          <w:lang w:val="en-US" w:eastAsia="zh-CN"/>
        </w:rPr>
        <w:t>.2021一带一路暨金砖国家技能发展与技术创新大赛</w:t>
      </w:r>
    </w:p>
    <w:p>
      <w:pPr>
        <w:widowControl/>
        <w:jc w:val="center"/>
        <w:rPr>
          <w:rFonts w:hint="eastAsia" w:ascii="仿宋_GB2312" w:hAnsi="仿宋_GB2312" w:eastAsia="仿宋_GB2312" w:cs="仿宋_GB2312"/>
          <w:b/>
          <w:bCs/>
          <w:color w:val="auto"/>
          <w:sz w:val="32"/>
          <w:szCs w:val="32"/>
          <w:highlight w:val="none"/>
          <w:lang w:val="zh-CN" w:eastAsia="zh-CN"/>
        </w:rPr>
      </w:pPr>
      <w:r>
        <w:rPr>
          <w:rFonts w:hint="eastAsia" w:ascii="仿宋_GB2312" w:hAnsi="仿宋_GB2312" w:eastAsia="仿宋_GB2312" w:cs="仿宋_GB2312"/>
          <w:b/>
          <w:bCs/>
          <w:color w:val="auto"/>
          <w:sz w:val="32"/>
          <w:szCs w:val="32"/>
          <w:highlight w:val="none"/>
          <w:lang w:val="en-US" w:eastAsia="zh-CN"/>
        </w:rPr>
        <w:t>激光技术赛项</w:t>
      </w:r>
      <w:r>
        <w:rPr>
          <w:rFonts w:hint="eastAsia" w:ascii="仿宋_GB2312" w:hAnsi="仿宋_GB2312" w:eastAsia="仿宋_GB2312" w:cs="仿宋_GB2312"/>
          <w:b/>
          <w:bCs/>
          <w:color w:val="auto"/>
          <w:sz w:val="32"/>
          <w:szCs w:val="32"/>
          <w:highlight w:val="none"/>
          <w:lang w:val="zh-CN" w:eastAsia="zh-CN"/>
        </w:rPr>
        <w:t>健康监测统计表</w:t>
      </w:r>
    </w:p>
    <w:p>
      <w:pPr>
        <w:autoSpaceDE w:val="0"/>
        <w:autoSpaceDN w:val="0"/>
        <w:jc w:val="left"/>
        <w:rPr>
          <w:rFonts w:ascii="仿宋" w:hAnsi="仿宋" w:eastAsia="仿宋" w:cs="仿宋"/>
          <w:color w:val="auto"/>
          <w:kern w:val="0"/>
          <w:sz w:val="22"/>
          <w:szCs w:val="22"/>
          <w:highlight w:val="yellow"/>
          <w:lang w:val="zh-CN" w:bidi="zh-CN"/>
        </w:rPr>
      </w:pPr>
    </w:p>
    <w:tbl>
      <w:tblPr>
        <w:tblStyle w:val="13"/>
        <w:tblW w:w="9379" w:type="dxa"/>
        <w:jc w:val="center"/>
        <w:tblLayout w:type="fixed"/>
        <w:tblCellMar>
          <w:top w:w="0" w:type="dxa"/>
          <w:left w:w="10" w:type="dxa"/>
          <w:bottom w:w="0" w:type="dxa"/>
          <w:right w:w="10" w:type="dxa"/>
        </w:tblCellMar>
      </w:tblPr>
      <w:tblGrid>
        <w:gridCol w:w="993"/>
        <w:gridCol w:w="931"/>
        <w:gridCol w:w="578"/>
        <w:gridCol w:w="354"/>
        <w:gridCol w:w="914"/>
        <w:gridCol w:w="909"/>
        <w:gridCol w:w="16"/>
        <w:gridCol w:w="2153"/>
        <w:gridCol w:w="1117"/>
        <w:gridCol w:w="1414"/>
      </w:tblGrid>
      <w:tr>
        <w:tblPrEx>
          <w:tblCellMar>
            <w:top w:w="0" w:type="dxa"/>
            <w:left w:w="10" w:type="dxa"/>
            <w:bottom w:w="0" w:type="dxa"/>
            <w:right w:w="10" w:type="dxa"/>
          </w:tblCellMar>
        </w:tblPrEx>
        <w:trPr>
          <w:trHeight w:val="276" w:hRule="atLeast"/>
          <w:jc w:val="center"/>
        </w:trPr>
        <w:tc>
          <w:tcPr>
            <w:tcW w:w="993" w:type="dxa"/>
            <w:vMerge w:val="restart"/>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姓名</w:t>
            </w:r>
          </w:p>
        </w:tc>
        <w:tc>
          <w:tcPr>
            <w:tcW w:w="8386" w:type="dxa"/>
            <w:gridSpan w:val="9"/>
            <w:tcBorders>
              <w:top w:val="single" w:color="auto" w:sz="4" w:space="0"/>
              <w:left w:val="single" w:color="auto" w:sz="4" w:space="0"/>
              <w:right w:val="single" w:color="auto" w:sz="4" w:space="0"/>
            </w:tcBorders>
            <w:shd w:val="clear" w:color="auto" w:fill="FFFFFF"/>
            <w:vAlign w:val="bottom"/>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健康排查（流行病学史筛査）</w:t>
            </w:r>
          </w:p>
        </w:tc>
      </w:tr>
      <w:tr>
        <w:tblPrEx>
          <w:tblCellMar>
            <w:top w:w="0" w:type="dxa"/>
            <w:left w:w="10" w:type="dxa"/>
            <w:bottom w:w="0" w:type="dxa"/>
            <w:right w:w="10" w:type="dxa"/>
          </w:tblCellMar>
        </w:tblPrEx>
        <w:trPr>
          <w:trHeight w:val="861" w:hRule="atLeast"/>
          <w:jc w:val="center"/>
        </w:trPr>
        <w:tc>
          <w:tcPr>
            <w:tcW w:w="993" w:type="dxa"/>
            <w:vMerge w:val="continue"/>
            <w:tcBorders>
              <w:left w:val="single" w:color="auto" w:sz="4" w:space="0"/>
            </w:tcBorders>
            <w:shd w:val="clear" w:color="auto" w:fill="FFFFFF"/>
            <w:vAlign w:val="center"/>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509" w:type="dxa"/>
            <w:gridSpan w:val="2"/>
            <w:tcBorders>
              <w:top w:val="single" w:color="auto" w:sz="4" w:space="0"/>
              <w:left w:val="single" w:color="auto" w:sz="4" w:space="0"/>
            </w:tcBorders>
            <w:shd w:val="clear" w:color="auto" w:fill="FFFFFF"/>
          </w:tcPr>
          <w:p>
            <w:pPr>
              <w:autoSpaceDE w:val="0"/>
              <w:autoSpaceDN w:val="0"/>
              <w:spacing w:line="228" w:lineRule="exact"/>
              <w:rPr>
                <w:rFonts w:ascii="仿宋_GB2312" w:hAnsi="仿宋_GB2312" w:eastAsia="仿宋_GB2312" w:cs="仿宋_GB2312"/>
                <w:color w:val="auto"/>
                <w:kern w:val="0"/>
                <w:sz w:val="22"/>
                <w:szCs w:val="22"/>
                <w:highlight w:val="none"/>
                <w:lang w:val="zh-CN" w:bidi="zh-CN"/>
              </w:rPr>
            </w:pPr>
            <w:r>
              <w:rPr>
                <w:rFonts w:ascii="仿宋_GB2312" w:hAnsi="仿宋_GB2312" w:eastAsia="仿宋_GB2312" w:cs="仿宋_GB2312"/>
                <w:color w:val="auto"/>
                <w:kern w:val="0"/>
                <w:sz w:val="22"/>
                <w:szCs w:val="22"/>
                <w:highlight w:val="none"/>
                <w:lang w:val="zh-CN" w:bidi="zh-CN"/>
              </w:rPr>
              <w:t>14</w:t>
            </w:r>
            <w:r>
              <w:rPr>
                <w:rFonts w:hint="eastAsia" w:ascii="仿宋_GB2312" w:hAnsi="仿宋_GB2312" w:eastAsia="仿宋_GB2312" w:cs="仿宋_GB2312"/>
                <w:color w:val="auto"/>
                <w:kern w:val="0"/>
                <w:sz w:val="22"/>
                <w:szCs w:val="22"/>
                <w:highlight w:val="none"/>
                <w:lang w:val="zh-CN" w:bidi="zh-CN"/>
              </w:rPr>
              <w:t>天内国内中、高风险等疫情重点地区旅居地（县、市、区）</w:t>
            </w:r>
          </w:p>
        </w:tc>
        <w:tc>
          <w:tcPr>
            <w:tcW w:w="1268" w:type="dxa"/>
            <w:gridSpan w:val="2"/>
            <w:tcBorders>
              <w:top w:val="single" w:color="auto" w:sz="4" w:space="0"/>
              <w:left w:val="single" w:color="auto" w:sz="4" w:space="0"/>
            </w:tcBorders>
            <w:shd w:val="clear" w:color="auto" w:fill="FFFFFF"/>
          </w:tcPr>
          <w:p>
            <w:pPr>
              <w:autoSpaceDE w:val="0"/>
              <w:autoSpaceDN w:val="0"/>
              <w:spacing w:line="227" w:lineRule="exact"/>
              <w:rPr>
                <w:rFonts w:ascii="仿宋_GB2312" w:hAnsi="仿宋_GB2312" w:eastAsia="仿宋_GB2312" w:cs="仿宋_GB2312"/>
                <w:color w:val="auto"/>
                <w:kern w:val="0"/>
                <w:sz w:val="22"/>
                <w:szCs w:val="22"/>
                <w:highlight w:val="none"/>
                <w:lang w:val="zh-CN" w:bidi="zh-CN"/>
              </w:rPr>
            </w:pPr>
            <w:r>
              <w:rPr>
                <w:rFonts w:ascii="仿宋_GB2312" w:hAnsi="仿宋_GB2312" w:eastAsia="仿宋_GB2312" w:cs="仿宋_GB2312"/>
                <w:color w:val="auto"/>
                <w:kern w:val="0"/>
                <w:sz w:val="22"/>
                <w:szCs w:val="22"/>
                <w:highlight w:val="none"/>
                <w:lang w:val="zh-CN" w:bidi="zh-CN"/>
              </w:rPr>
              <w:t>14</w:t>
            </w:r>
            <w:r>
              <w:rPr>
                <w:rFonts w:hint="eastAsia" w:ascii="仿宋_GB2312" w:hAnsi="仿宋_GB2312" w:eastAsia="仿宋_GB2312" w:cs="仿宋_GB2312"/>
                <w:color w:val="auto"/>
                <w:kern w:val="0"/>
                <w:sz w:val="22"/>
                <w:szCs w:val="22"/>
                <w:highlight w:val="none"/>
                <w:lang w:val="zh-CN" w:bidi="zh-CN"/>
              </w:rPr>
              <w:t>天内境外旅居地（国家、地区）</w:t>
            </w:r>
          </w:p>
        </w:tc>
        <w:tc>
          <w:tcPr>
            <w:tcW w:w="925" w:type="dxa"/>
            <w:gridSpan w:val="2"/>
            <w:tcBorders>
              <w:top w:val="single" w:color="auto" w:sz="4" w:space="0"/>
              <w:left w:val="single" w:color="auto" w:sz="4" w:space="0"/>
            </w:tcBorders>
            <w:shd w:val="clear" w:color="auto" w:fill="FFFFFF"/>
          </w:tcPr>
          <w:p>
            <w:pPr>
              <w:autoSpaceDE w:val="0"/>
              <w:autoSpaceDN w:val="0"/>
              <w:spacing w:line="238"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居住社区21天内发生疫情：</w:t>
            </w:r>
          </w:p>
          <w:p>
            <w:pPr>
              <w:autoSpaceDE w:val="0"/>
              <w:autoSpaceDN w:val="0"/>
              <w:spacing w:line="238"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eastAsia="en-US" w:bidi="en-US"/>
              </w:rPr>
              <w:t>1.</w:t>
            </w:r>
            <w:r>
              <w:rPr>
                <w:rFonts w:hint="eastAsia" w:ascii="仿宋_GB2312" w:hAnsi="仿宋_GB2312" w:eastAsia="仿宋_GB2312" w:cs="仿宋_GB2312"/>
                <w:color w:val="auto"/>
                <w:kern w:val="0"/>
                <w:sz w:val="22"/>
                <w:szCs w:val="22"/>
                <w:highlight w:val="none"/>
                <w:lang w:val="zh-CN" w:bidi="zh-CN"/>
              </w:rPr>
              <w:t>是；</w:t>
            </w:r>
            <w:r>
              <w:rPr>
                <w:rFonts w:hint="eastAsia" w:ascii="仿宋_GB2312" w:hAnsi="仿宋_GB2312" w:eastAsia="仿宋_GB2312" w:cs="仿宋_GB2312"/>
                <w:color w:val="auto"/>
                <w:kern w:val="0"/>
                <w:sz w:val="22"/>
                <w:szCs w:val="22"/>
                <w:highlight w:val="none"/>
                <w:lang w:val="zh-CN" w:eastAsia="en-US" w:bidi="en-US"/>
              </w:rPr>
              <w:t>2.</w:t>
            </w:r>
            <w:r>
              <w:rPr>
                <w:rFonts w:hint="eastAsia" w:ascii="仿宋_GB2312" w:hAnsi="仿宋_GB2312" w:eastAsia="仿宋_GB2312" w:cs="仿宋_GB2312"/>
                <w:color w:val="auto"/>
                <w:kern w:val="0"/>
                <w:sz w:val="22"/>
                <w:szCs w:val="22"/>
                <w:highlight w:val="none"/>
                <w:lang w:val="zh-CN" w:bidi="zh-CN"/>
              </w:rPr>
              <w:t>否。</w:t>
            </w:r>
          </w:p>
        </w:tc>
        <w:tc>
          <w:tcPr>
            <w:tcW w:w="2153" w:type="dxa"/>
            <w:tcBorders>
              <w:top w:val="single" w:color="auto" w:sz="4" w:space="0"/>
              <w:left w:val="single" w:color="auto" w:sz="4" w:space="0"/>
            </w:tcBorders>
            <w:shd w:val="clear" w:color="auto" w:fill="FFFFFF"/>
          </w:tcPr>
          <w:p>
            <w:pPr>
              <w:autoSpaceDE w:val="0"/>
              <w:autoSpaceDN w:val="0"/>
              <w:spacing w:line="216"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属于下面哪种情形：1.确诊病例；2.无症状感染者;</w:t>
            </w:r>
          </w:p>
          <w:p>
            <w:pPr>
              <w:autoSpaceDE w:val="0"/>
              <w:autoSpaceDN w:val="0"/>
              <w:spacing w:line="216"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3.密切接触者；</w:t>
            </w:r>
            <w:r>
              <w:rPr>
                <w:rFonts w:hint="eastAsia" w:ascii="仿宋_GB2312" w:hAnsi="仿宋_GB2312" w:eastAsia="仿宋_GB2312" w:cs="仿宋_GB2312"/>
                <w:color w:val="auto"/>
                <w:kern w:val="0"/>
                <w:sz w:val="22"/>
                <w:szCs w:val="22"/>
                <w:highlight w:val="none"/>
                <w:lang w:val="zh-CN" w:eastAsia="en-US" w:bidi="en-US"/>
              </w:rPr>
              <w:t>4.</w:t>
            </w:r>
            <w:r>
              <w:rPr>
                <w:rFonts w:hint="eastAsia" w:ascii="仿宋_GB2312" w:hAnsi="仿宋_GB2312" w:eastAsia="仿宋_GB2312" w:cs="仿宋_GB2312"/>
                <w:color w:val="auto"/>
                <w:kern w:val="0"/>
                <w:sz w:val="22"/>
                <w:szCs w:val="22"/>
                <w:highlight w:val="none"/>
                <w:lang w:val="zh-CN" w:bidi="zh-CN"/>
              </w:rPr>
              <w:t>以上都不是。</w:t>
            </w:r>
          </w:p>
        </w:tc>
        <w:tc>
          <w:tcPr>
            <w:tcW w:w="1117" w:type="dxa"/>
            <w:tcBorders>
              <w:top w:val="single" w:color="auto" w:sz="4" w:space="0"/>
              <w:left w:val="single" w:color="auto" w:sz="4" w:space="0"/>
            </w:tcBorders>
            <w:shd w:val="clear" w:color="auto" w:fill="FFFFFF"/>
          </w:tcPr>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是否解除医学隔离观察：</w:t>
            </w:r>
          </w:p>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1.是；2.否；</w:t>
            </w:r>
          </w:p>
          <w:p>
            <w:pPr>
              <w:autoSpaceDE w:val="0"/>
              <w:autoSpaceDN w:val="0"/>
              <w:spacing w:line="220" w:lineRule="exac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eastAsia="en-US" w:bidi="en-US"/>
              </w:rPr>
              <w:t>3.</w:t>
            </w:r>
            <w:r>
              <w:rPr>
                <w:rFonts w:hint="eastAsia" w:ascii="仿宋_GB2312" w:hAnsi="仿宋_GB2312" w:eastAsia="仿宋_GB2312" w:cs="仿宋_GB2312"/>
                <w:color w:val="auto"/>
                <w:kern w:val="0"/>
                <w:sz w:val="22"/>
                <w:szCs w:val="22"/>
                <w:highlight w:val="none"/>
                <w:lang w:val="zh-CN" w:bidi="zh-CN"/>
              </w:rPr>
              <w:t>不属于。</w:t>
            </w:r>
          </w:p>
        </w:tc>
        <w:tc>
          <w:tcPr>
            <w:tcW w:w="1414" w:type="dxa"/>
            <w:tcBorders>
              <w:top w:val="single" w:color="auto" w:sz="4" w:space="0"/>
              <w:left w:val="single" w:color="auto" w:sz="4" w:space="0"/>
              <w:right w:val="single" w:color="auto" w:sz="4" w:space="0"/>
            </w:tcBorders>
            <w:shd w:val="clear" w:color="auto" w:fill="FFFFFF"/>
          </w:tcPr>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核酸检测结果：</w:t>
            </w:r>
          </w:p>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en-US"/>
              </w:rPr>
              <w:t>1.</w:t>
            </w:r>
            <w:r>
              <w:rPr>
                <w:rFonts w:hint="eastAsia" w:ascii="仿宋_GB2312" w:hAnsi="仿宋_GB2312" w:eastAsia="仿宋_GB2312" w:cs="仿宋_GB2312"/>
                <w:color w:val="auto"/>
                <w:kern w:val="0"/>
                <w:sz w:val="22"/>
                <w:szCs w:val="22"/>
                <w:highlight w:val="none"/>
                <w:lang w:val="zh-CN" w:bidi="zh-CN"/>
              </w:rPr>
              <w:t>阳性;</w:t>
            </w:r>
          </w:p>
          <w:p>
            <w:pPr>
              <w:autoSpaceDE w:val="0"/>
              <w:autoSpaceDN w:val="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2.阴性。</w:t>
            </w:r>
          </w:p>
        </w:tc>
      </w:tr>
      <w:tr>
        <w:tblPrEx>
          <w:tblCellMar>
            <w:top w:w="0" w:type="dxa"/>
            <w:left w:w="10" w:type="dxa"/>
            <w:bottom w:w="0" w:type="dxa"/>
            <w:right w:w="10" w:type="dxa"/>
          </w:tblCellMar>
        </w:tblPrEx>
        <w:trPr>
          <w:trHeight w:val="383" w:hRule="atLeast"/>
          <w:jc w:val="center"/>
        </w:trPr>
        <w:tc>
          <w:tcPr>
            <w:tcW w:w="993"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509"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268"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25"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2153"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117"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r>
      <w:tr>
        <w:tblPrEx>
          <w:tblCellMar>
            <w:top w:w="0" w:type="dxa"/>
            <w:left w:w="10" w:type="dxa"/>
            <w:bottom w:w="0" w:type="dxa"/>
            <w:right w:w="10" w:type="dxa"/>
          </w:tblCellMar>
        </w:tblPrEx>
        <w:trPr>
          <w:trHeight w:val="308" w:hRule="atLeast"/>
          <w:jc w:val="center"/>
        </w:trPr>
        <w:tc>
          <w:tcPr>
            <w:tcW w:w="9379" w:type="dxa"/>
            <w:gridSpan w:val="10"/>
            <w:tcBorders>
              <w:top w:val="single" w:color="auto" w:sz="4" w:space="0"/>
              <w:left w:val="single" w:color="auto" w:sz="4" w:space="0"/>
              <w:right w:val="single" w:color="auto" w:sz="4" w:space="0"/>
            </w:tcBorders>
            <w:shd w:val="clear" w:color="auto" w:fill="FFFFFF"/>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健康监测（自报到前</w:t>
            </w:r>
            <w:r>
              <w:rPr>
                <w:rFonts w:hint="eastAsia" w:ascii="仿宋_GB2312" w:hAnsi="仿宋_GB2312" w:eastAsia="仿宋_GB2312" w:cs="仿宋_GB2312"/>
                <w:color w:val="auto"/>
                <w:kern w:val="0"/>
                <w:sz w:val="22"/>
                <w:szCs w:val="22"/>
                <w:highlight w:val="none"/>
                <w:lang w:val="en-US" w:bidi="zh-CN"/>
              </w:rPr>
              <w:t>14</w:t>
            </w:r>
            <w:r>
              <w:rPr>
                <w:rFonts w:hint="eastAsia" w:ascii="仿宋_GB2312" w:hAnsi="仿宋_GB2312" w:eastAsia="仿宋_GB2312" w:cs="仿宋_GB2312"/>
                <w:color w:val="auto"/>
                <w:kern w:val="0"/>
                <w:sz w:val="22"/>
                <w:szCs w:val="22"/>
                <w:highlight w:val="none"/>
                <w:lang w:val="zh-CN" w:bidi="zh-CN"/>
              </w:rPr>
              <w:t>天起统计）</w:t>
            </w:r>
          </w:p>
        </w:tc>
      </w:tr>
      <w:tr>
        <w:tblPrEx>
          <w:tblCellMar>
            <w:top w:w="0" w:type="dxa"/>
            <w:left w:w="10" w:type="dxa"/>
            <w:bottom w:w="0" w:type="dxa"/>
            <w:right w:w="10" w:type="dxa"/>
          </w:tblCellMar>
        </w:tblPrEx>
        <w:trPr>
          <w:trHeight w:val="752" w:hRule="atLeast"/>
          <w:jc w:val="center"/>
        </w:trPr>
        <w:tc>
          <w:tcPr>
            <w:tcW w:w="993"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天数</w:t>
            </w:r>
          </w:p>
        </w:tc>
        <w:tc>
          <w:tcPr>
            <w:tcW w:w="931"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监测日期</w:t>
            </w:r>
          </w:p>
        </w:tc>
        <w:tc>
          <w:tcPr>
            <w:tcW w:w="932" w:type="dxa"/>
            <w:gridSpan w:val="2"/>
            <w:tcBorders>
              <w:top w:val="single" w:color="auto" w:sz="4" w:space="0"/>
              <w:left w:val="single" w:color="auto" w:sz="4" w:space="0"/>
            </w:tcBorders>
            <w:shd w:val="clear" w:color="auto" w:fill="FFFFFF"/>
            <w:vAlign w:val="bottom"/>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健康码</w:t>
            </w:r>
          </w:p>
          <w:p>
            <w:pPr>
              <w:tabs>
                <w:tab w:val="left" w:pos="158"/>
              </w:tabs>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1.红码；</w:t>
            </w:r>
          </w:p>
          <w:p>
            <w:pPr>
              <w:tabs>
                <w:tab w:val="left" w:pos="180"/>
              </w:tabs>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2.黄码；</w:t>
            </w:r>
          </w:p>
          <w:p>
            <w:pPr>
              <w:tabs>
                <w:tab w:val="left" w:pos="180"/>
              </w:tabs>
              <w:autoSpaceDE w:val="0"/>
              <w:autoSpaceDN w:val="0"/>
              <w:adjustRightInd w:val="0"/>
              <w:snapToGrid w:val="0"/>
              <w:ind w:firstLine="220" w:firstLineChars="100"/>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3.绿码。</w:t>
            </w:r>
          </w:p>
        </w:tc>
        <w:tc>
          <w:tcPr>
            <w:tcW w:w="914"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早体温</w:t>
            </w:r>
          </w:p>
        </w:tc>
        <w:tc>
          <w:tcPr>
            <w:tcW w:w="909" w:type="dxa"/>
            <w:tcBorders>
              <w:top w:val="single" w:color="auto" w:sz="4" w:space="0"/>
              <w:lef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晚体温</w:t>
            </w:r>
          </w:p>
        </w:tc>
        <w:tc>
          <w:tcPr>
            <w:tcW w:w="3286" w:type="dxa"/>
            <w:gridSpan w:val="3"/>
            <w:tcBorders>
              <w:top w:val="single" w:color="auto" w:sz="4" w:space="0"/>
              <w:left w:val="single" w:color="auto" w:sz="4" w:space="0"/>
            </w:tcBorders>
            <w:shd w:val="clear" w:color="auto" w:fill="FFFFFF"/>
            <w:vAlign w:val="bottom"/>
          </w:tcPr>
          <w:p>
            <w:pPr>
              <w:autoSpaceDE w:val="0"/>
              <w:autoSpaceDN w:val="0"/>
              <w:adjustRightInd w:val="0"/>
              <w:snapToGrid w:val="0"/>
              <w:jc w:val="lef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是否有以下症状：</w:t>
            </w:r>
            <w:r>
              <w:rPr>
                <w:rFonts w:hint="eastAsia" w:ascii="仿宋_GB2312" w:hAnsi="仿宋_GB2312" w:eastAsia="仿宋_GB2312" w:cs="仿宋_GB2312"/>
                <w:color w:val="auto"/>
                <w:kern w:val="0"/>
                <w:sz w:val="22"/>
                <w:szCs w:val="22"/>
                <w:highlight w:val="none"/>
                <w:lang w:val="zh-CN" w:bidi="en-US"/>
              </w:rPr>
              <w:t>1.</w:t>
            </w:r>
            <w:r>
              <w:rPr>
                <w:rFonts w:hint="eastAsia" w:ascii="仿宋_GB2312" w:hAnsi="仿宋_GB2312" w:eastAsia="仿宋_GB2312" w:cs="仿宋_GB2312"/>
                <w:color w:val="auto"/>
                <w:kern w:val="0"/>
                <w:sz w:val="22"/>
                <w:szCs w:val="22"/>
                <w:highlight w:val="none"/>
                <w:lang w:val="zh-CN" w:bidi="zh-CN"/>
              </w:rPr>
              <w:t>发热；</w:t>
            </w:r>
            <w:r>
              <w:rPr>
                <w:rFonts w:hint="eastAsia" w:ascii="仿宋_GB2312" w:hAnsi="仿宋_GB2312" w:eastAsia="仿宋_GB2312" w:cs="仿宋_GB2312"/>
                <w:color w:val="auto"/>
                <w:kern w:val="0"/>
                <w:sz w:val="22"/>
                <w:szCs w:val="22"/>
                <w:highlight w:val="none"/>
                <w:lang w:bidi="zh-CN"/>
              </w:rPr>
              <w:t xml:space="preserve">  </w:t>
            </w:r>
            <w:r>
              <w:rPr>
                <w:rFonts w:hint="eastAsia" w:ascii="仿宋_GB2312" w:hAnsi="仿宋_GB2312" w:eastAsia="仿宋_GB2312" w:cs="仿宋_GB2312"/>
                <w:color w:val="auto"/>
                <w:kern w:val="0"/>
                <w:sz w:val="22"/>
                <w:szCs w:val="22"/>
                <w:highlight w:val="none"/>
                <w:lang w:val="zh-CN" w:bidi="zh-CN"/>
              </w:rPr>
              <w:t>2.乏力；3.咳嗽；4.咽痛；5.打喷嚏；6.腹泻；7.呕吐；8.黄疸；9.皮疹；</w:t>
            </w:r>
            <w:r>
              <w:rPr>
                <w:rFonts w:hint="eastAsia" w:ascii="仿宋_GB2312" w:hAnsi="仿宋_GB2312" w:eastAsia="仿宋_GB2312" w:cs="仿宋_GB2312"/>
                <w:color w:val="auto"/>
                <w:kern w:val="0"/>
                <w:sz w:val="22"/>
                <w:szCs w:val="22"/>
                <w:highlight w:val="none"/>
                <w:lang w:bidi="zh-CN"/>
              </w:rPr>
              <w:t xml:space="preserve">  </w:t>
            </w:r>
            <w:r>
              <w:rPr>
                <w:rFonts w:hint="eastAsia" w:ascii="仿宋_GB2312" w:hAnsi="仿宋_GB2312" w:eastAsia="仿宋_GB2312" w:cs="仿宋_GB2312"/>
                <w:color w:val="auto"/>
                <w:kern w:val="0"/>
                <w:sz w:val="22"/>
                <w:szCs w:val="22"/>
                <w:highlight w:val="none"/>
                <w:lang w:val="zh-CN" w:bidi="zh-CN"/>
              </w:rPr>
              <w:t>10.结膜充血；11.无不适症状。</w:t>
            </w:r>
          </w:p>
        </w:tc>
        <w:tc>
          <w:tcPr>
            <w:tcW w:w="1414" w:type="dxa"/>
            <w:tcBorders>
              <w:top w:val="single" w:color="auto" w:sz="4" w:space="0"/>
              <w:left w:val="single" w:color="auto" w:sz="4" w:space="0"/>
              <w:right w:val="single" w:color="auto" w:sz="4" w:space="0"/>
            </w:tcBorders>
            <w:shd w:val="clear" w:color="auto" w:fill="FFFFFF"/>
            <w:vAlign w:val="center"/>
          </w:tcPr>
          <w:p>
            <w:pPr>
              <w:autoSpaceDE w:val="0"/>
              <w:autoSpaceDN w:val="0"/>
              <w:adjustRightInd w:val="0"/>
              <w:snapToGrid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如出现前述所列症状，是否排除疑似传染病：1.是；2.否。</w:t>
            </w: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p>
        </w:tc>
        <w:tc>
          <w:tcPr>
            <w:tcW w:w="931" w:type="dxa"/>
            <w:tcBorders>
              <w:top w:val="single" w:color="auto" w:sz="4" w:space="0"/>
              <w:left w:val="single" w:color="auto" w:sz="4" w:space="0"/>
            </w:tcBorders>
            <w:shd w:val="clear" w:color="auto" w:fill="FFFFFF"/>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11月10日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2</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11月11日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3</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11月12日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4</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11月13日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5</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11月14日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6</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11月15日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7</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11月16日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8</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11月17日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9</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11月18日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0</w:t>
            </w:r>
          </w:p>
        </w:tc>
        <w:tc>
          <w:tcPr>
            <w:tcW w:w="931" w:type="dxa"/>
            <w:tcBorders>
              <w:top w:val="single" w:color="auto" w:sz="4" w:space="0"/>
              <w:left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11月19日</w:t>
            </w:r>
          </w:p>
        </w:tc>
        <w:tc>
          <w:tcPr>
            <w:tcW w:w="932" w:type="dxa"/>
            <w:gridSpan w:val="2"/>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1</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11月20日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2</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11月21日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3</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11月22日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4</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hint="default" w:ascii="仿宋_GB2312" w:hAnsi="仿宋_GB2312" w:eastAsia="仿宋_GB2312" w:cs="仿宋_GB2312"/>
                <w:color w:val="auto"/>
                <w:kern w:val="0"/>
                <w:sz w:val="22"/>
                <w:szCs w:val="22"/>
                <w:highlight w:val="none"/>
                <w:lang w:val="en-US" w:bidi="zh-CN"/>
              </w:rPr>
            </w:pPr>
            <w:r>
              <w:rPr>
                <w:rFonts w:hint="eastAsia" w:ascii="仿宋_GB2312" w:hAnsi="仿宋_GB2312" w:eastAsia="仿宋_GB2312" w:cs="仿宋_GB2312"/>
                <w:color w:val="auto"/>
                <w:kern w:val="0"/>
                <w:sz w:val="22"/>
                <w:szCs w:val="22"/>
                <w:highlight w:val="none"/>
                <w:lang w:val="en-US" w:bidi="zh-CN"/>
              </w:rPr>
              <w:t>11月23日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r>
        <w:tblPrEx>
          <w:tblCellMar>
            <w:top w:w="0" w:type="dxa"/>
            <w:left w:w="10" w:type="dxa"/>
            <w:bottom w:w="0" w:type="dxa"/>
            <w:right w:w="10" w:type="dxa"/>
          </w:tblCellMar>
        </w:tblPrEx>
        <w:trPr>
          <w:trHeight w:val="334" w:hRule="atLeast"/>
          <w:jc w:val="center"/>
        </w:trPr>
        <w:tc>
          <w:tcPr>
            <w:tcW w:w="993" w:type="dxa"/>
            <w:tcBorders>
              <w:top w:val="single" w:color="auto" w:sz="4" w:space="0"/>
              <w:left w:val="single" w:color="auto" w:sz="4" w:space="0"/>
              <w:bottom w:val="single" w:color="auto" w:sz="4" w:space="0"/>
            </w:tcBorders>
            <w:shd w:val="clear" w:color="auto" w:fill="FFFFFF"/>
            <w:vAlign w:val="center"/>
          </w:tcPr>
          <w:p>
            <w:pPr>
              <w:autoSpaceDE w:val="0"/>
              <w:autoSpaceDN w:val="0"/>
              <w:jc w:val="center"/>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zh-CN" w:bidi="zh-CN"/>
              </w:rPr>
              <w:t>1</w:t>
            </w:r>
            <w:r>
              <w:rPr>
                <w:rFonts w:ascii="仿宋_GB2312" w:hAnsi="仿宋_GB2312" w:eastAsia="仿宋_GB2312" w:cs="仿宋_GB2312"/>
                <w:color w:val="auto"/>
                <w:kern w:val="0"/>
                <w:sz w:val="22"/>
                <w:szCs w:val="22"/>
                <w:highlight w:val="none"/>
                <w:lang w:val="zh-CN" w:bidi="zh-CN"/>
              </w:rPr>
              <w:t>5</w:t>
            </w:r>
          </w:p>
        </w:tc>
        <w:tc>
          <w:tcPr>
            <w:tcW w:w="931" w:type="dxa"/>
            <w:tcBorders>
              <w:top w:val="single" w:color="auto" w:sz="4" w:space="0"/>
              <w:left w:val="single" w:color="auto" w:sz="4" w:space="0"/>
              <w:bottom w:val="single" w:color="auto" w:sz="4" w:space="0"/>
            </w:tcBorders>
            <w:shd w:val="clear" w:color="auto" w:fill="FFFFFF"/>
            <w:vAlign w:val="top"/>
          </w:tcPr>
          <w:p>
            <w:pPr>
              <w:autoSpaceDE w:val="0"/>
              <w:autoSpaceDN w:val="0"/>
              <w:jc w:val="left"/>
              <w:rPr>
                <w:rFonts w:ascii="仿宋_GB2312" w:hAnsi="仿宋_GB2312" w:eastAsia="仿宋_GB2312" w:cs="仿宋_GB2312"/>
                <w:color w:val="auto"/>
                <w:kern w:val="0"/>
                <w:sz w:val="22"/>
                <w:szCs w:val="22"/>
                <w:highlight w:val="none"/>
                <w:lang w:val="zh-CN" w:bidi="zh-CN"/>
              </w:rPr>
            </w:pPr>
            <w:r>
              <w:rPr>
                <w:rFonts w:hint="eastAsia" w:ascii="仿宋_GB2312" w:hAnsi="仿宋_GB2312" w:eastAsia="仿宋_GB2312" w:cs="仿宋_GB2312"/>
                <w:color w:val="auto"/>
                <w:kern w:val="0"/>
                <w:sz w:val="22"/>
                <w:szCs w:val="22"/>
                <w:highlight w:val="none"/>
                <w:lang w:val="en-US" w:bidi="zh-CN"/>
              </w:rPr>
              <w:t>11月24日</w:t>
            </w:r>
          </w:p>
        </w:tc>
        <w:tc>
          <w:tcPr>
            <w:tcW w:w="932" w:type="dxa"/>
            <w:gridSpan w:val="2"/>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14"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909" w:type="dxa"/>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3286" w:type="dxa"/>
            <w:gridSpan w:val="3"/>
            <w:tcBorders>
              <w:top w:val="single" w:color="auto" w:sz="4" w:space="0"/>
              <w:left w:val="single" w:color="auto" w:sz="4" w:space="0"/>
              <w:bottom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none"/>
                <w:lang w:val="zh-CN" w:bidi="zh-CN"/>
              </w:rPr>
            </w:pPr>
          </w:p>
        </w:tc>
        <w:tc>
          <w:tcPr>
            <w:tcW w:w="1414"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jc w:val="left"/>
              <w:rPr>
                <w:rFonts w:ascii="仿宋_GB2312" w:hAnsi="仿宋_GB2312" w:eastAsia="仿宋_GB2312" w:cs="仿宋_GB2312"/>
                <w:color w:val="auto"/>
                <w:kern w:val="0"/>
                <w:sz w:val="22"/>
                <w:szCs w:val="22"/>
                <w:highlight w:val="yellow"/>
                <w:lang w:val="zh-CN" w:bidi="zh-CN"/>
              </w:rPr>
            </w:pPr>
          </w:p>
        </w:tc>
      </w:tr>
    </w:tbl>
    <w:p>
      <w:pPr>
        <w:autoSpaceDE w:val="0"/>
        <w:autoSpaceDN w:val="0"/>
        <w:adjustRightInd w:val="0"/>
        <w:snapToGrid w:val="0"/>
        <w:jc w:val="center"/>
        <w:rPr>
          <w:rFonts w:hAnsi="宋体" w:eastAsia="仿宋"/>
          <w:color w:val="auto"/>
          <w:kern w:val="0"/>
          <w:sz w:val="22"/>
          <w:szCs w:val="22"/>
          <w:highlight w:val="yellow"/>
          <w:lang w:val="zh-TW" w:bidi="zh-TW"/>
        </w:rPr>
      </w:pPr>
    </w:p>
    <w:p>
      <w:pPr>
        <w:adjustRightInd w:val="0"/>
        <w:snapToGrid w:val="0"/>
        <w:spacing w:line="340" w:lineRule="exact"/>
        <w:jc w:val="left"/>
        <w:rPr>
          <w:rFonts w:ascii="仿宋_GB2312" w:hAnsi="仿宋_GB2312" w:eastAsia="仿宋_GB2312" w:cs="仿宋_GB2312"/>
          <w:color w:val="auto"/>
          <w:kern w:val="0"/>
          <w:sz w:val="22"/>
          <w:szCs w:val="22"/>
          <w:highlight w:val="none"/>
          <w:lang w:val="zh-TW" w:eastAsia="zh-TW" w:bidi="zh-TW"/>
        </w:rPr>
      </w:pPr>
      <w:r>
        <w:rPr>
          <w:rFonts w:hint="eastAsia" w:ascii="仿宋_GB2312" w:hAnsi="仿宋_GB2312" w:eastAsia="仿宋_GB2312" w:cs="仿宋_GB2312"/>
          <w:color w:val="auto"/>
          <w:kern w:val="0"/>
          <w:sz w:val="22"/>
          <w:szCs w:val="22"/>
          <w:highlight w:val="none"/>
          <w:lang w:val="zh-TW" w:eastAsia="zh-TW" w:bidi="zh-TW"/>
        </w:rPr>
        <w:t>本人承诺：以上信息属实，如有虚报、瞒报，愿承担责任及后果。</w:t>
      </w:r>
    </w:p>
    <w:p>
      <w:pPr>
        <w:tabs>
          <w:tab w:val="left" w:pos="4895"/>
          <w:tab w:val="left" w:pos="6653"/>
        </w:tabs>
        <w:adjustRightInd w:val="0"/>
        <w:snapToGrid w:val="0"/>
        <w:spacing w:line="340" w:lineRule="exact"/>
        <w:jc w:val="left"/>
        <w:rPr>
          <w:rFonts w:ascii="仿宋_GB2312" w:hAnsi="仿宋_GB2312" w:eastAsia="PMingLiU" w:cs="仿宋_GB2312"/>
          <w:color w:val="auto"/>
          <w:kern w:val="0"/>
          <w:sz w:val="18"/>
          <w:szCs w:val="18"/>
          <w:highlight w:val="none"/>
          <w:lang w:val="zh-TW" w:eastAsia="zh-TW" w:bidi="zh-TW"/>
        </w:rPr>
      </w:pPr>
      <w:r>
        <w:rPr>
          <w:rFonts w:hint="eastAsia" w:ascii="仿宋_GB2312" w:hAnsi="仿宋_GB2312" w:eastAsia="仿宋_GB2312" w:cs="仿宋_GB2312"/>
          <w:color w:val="auto"/>
          <w:kern w:val="0"/>
          <w:sz w:val="22"/>
          <w:szCs w:val="22"/>
          <w:highlight w:val="none"/>
          <w:lang w:val="zh-TW" w:eastAsia="zh-TW" w:bidi="zh-TW"/>
        </w:rPr>
        <w:t>签名</w:t>
      </w:r>
      <w:r>
        <w:rPr>
          <w:rFonts w:hint="eastAsia" w:ascii="仿宋_GB2312" w:hAnsi="仿宋_GB2312" w:eastAsia="仿宋_GB2312" w:cs="仿宋_GB2312"/>
          <w:color w:val="auto"/>
          <w:kern w:val="0"/>
          <w:sz w:val="22"/>
          <w:szCs w:val="22"/>
          <w:highlight w:val="none"/>
          <w:lang w:val="zh-TW" w:bidi="zh-TW"/>
        </w:rPr>
        <w:t xml:space="preserve">:              </w:t>
      </w:r>
      <w:r>
        <w:rPr>
          <w:rFonts w:ascii="仿宋_GB2312" w:hAnsi="仿宋_GB2312" w:eastAsia="仿宋_GB2312" w:cs="仿宋_GB2312"/>
          <w:color w:val="auto"/>
          <w:kern w:val="0"/>
          <w:sz w:val="22"/>
          <w:szCs w:val="22"/>
          <w:highlight w:val="none"/>
          <w:lang w:val="zh-TW" w:eastAsia="zh-TW" w:bidi="zh-TW"/>
        </w:rPr>
        <w:t>（此表每人一份，须亲笔签名，由所在</w:t>
      </w:r>
      <w:r>
        <w:rPr>
          <w:rFonts w:hint="eastAsia" w:ascii="仿宋_GB2312" w:hAnsi="仿宋_GB2312" w:eastAsia="仿宋_GB2312" w:cs="仿宋_GB2312"/>
          <w:color w:val="auto"/>
          <w:kern w:val="0"/>
          <w:sz w:val="22"/>
          <w:szCs w:val="22"/>
          <w:highlight w:val="none"/>
          <w:lang w:val="zh-TW" w:eastAsia="zh-TW" w:bidi="zh-TW"/>
        </w:rPr>
        <w:t>院校</w:t>
      </w:r>
      <w:r>
        <w:rPr>
          <w:rFonts w:ascii="仿宋_GB2312" w:hAnsi="仿宋_GB2312" w:eastAsia="仿宋_GB2312" w:cs="仿宋_GB2312"/>
          <w:color w:val="auto"/>
          <w:kern w:val="0"/>
          <w:sz w:val="22"/>
          <w:szCs w:val="22"/>
          <w:highlight w:val="none"/>
          <w:lang w:val="zh-TW" w:eastAsia="zh-TW" w:bidi="zh-TW"/>
        </w:rPr>
        <w:t>加盖公章）</w:t>
      </w: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yellow"/>
        </w:rPr>
      </w:pPr>
    </w:p>
    <w:p>
      <w:pPr>
        <w:spacing w:before="156" w:beforeLines="50" w:after="156" w:afterLines="50" w:line="480" w:lineRule="exact"/>
        <w:jc w:val="left"/>
        <w:rPr>
          <w:rFonts w:ascii="仿宋" w:hAnsi="仿宋" w:eastAsia="仿宋"/>
          <w:bCs/>
          <w:color w:val="auto"/>
          <w:sz w:val="30"/>
          <w:szCs w:val="30"/>
          <w:highlight w:val="none"/>
        </w:rPr>
      </w:pPr>
      <w:r>
        <w:rPr>
          <w:rFonts w:hint="eastAsia" w:ascii="仿宋" w:hAnsi="仿宋" w:eastAsia="仿宋"/>
          <w:bCs/>
          <w:color w:val="auto"/>
          <w:sz w:val="30"/>
          <w:szCs w:val="30"/>
          <w:highlight w:val="none"/>
        </w:rPr>
        <w:t xml:space="preserve">附件 </w:t>
      </w:r>
      <w:r>
        <w:rPr>
          <w:rFonts w:ascii="仿宋" w:hAnsi="仿宋" w:eastAsia="仿宋"/>
          <w:bCs/>
          <w:color w:val="auto"/>
          <w:sz w:val="30"/>
          <w:szCs w:val="30"/>
          <w:highlight w:val="none"/>
        </w:rPr>
        <w:t>3</w:t>
      </w:r>
      <w:r>
        <w:rPr>
          <w:rFonts w:hint="eastAsia" w:ascii="仿宋" w:hAnsi="仿宋" w:eastAsia="仿宋"/>
          <w:bCs/>
          <w:color w:val="auto"/>
          <w:sz w:val="30"/>
          <w:szCs w:val="30"/>
          <w:highlight w:val="none"/>
        </w:rPr>
        <w:t>.</w:t>
      </w:r>
    </w:p>
    <w:p>
      <w:pPr>
        <w:spacing w:before="156" w:beforeLines="50" w:after="156" w:afterLines="50" w:line="480" w:lineRule="exact"/>
        <w:jc w:val="center"/>
        <w:rPr>
          <w:rFonts w:ascii="仿宋" w:hAnsi="仿宋" w:eastAsia="仿宋"/>
          <w:b/>
          <w:color w:val="auto"/>
          <w:sz w:val="30"/>
          <w:szCs w:val="30"/>
          <w:highlight w:val="none"/>
        </w:rPr>
      </w:pPr>
      <w:r>
        <w:rPr>
          <w:rFonts w:hint="eastAsia" w:ascii="仿宋" w:hAnsi="仿宋" w:eastAsia="仿宋"/>
          <w:b/>
          <w:color w:val="auto"/>
          <w:sz w:val="30"/>
          <w:szCs w:val="30"/>
          <w:highlight w:val="none"/>
        </w:rPr>
        <w:t>疫情防控个人健康承诺书</w:t>
      </w:r>
    </w:p>
    <w:p>
      <w:pPr>
        <w:pStyle w:val="36"/>
        <w:shd w:val="clear" w:color="auto" w:fill="auto"/>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本人承诺：</w:t>
      </w:r>
    </w:p>
    <w:p>
      <w:pPr>
        <w:pStyle w:val="36"/>
        <w:numPr>
          <w:ilvl w:val="0"/>
          <w:numId w:val="2"/>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本人没有被诊断肺炎确诊病例或疑似病例；</w:t>
      </w:r>
    </w:p>
    <w:p>
      <w:pPr>
        <w:pStyle w:val="36"/>
        <w:numPr>
          <w:ilvl w:val="0"/>
          <w:numId w:val="2"/>
        </w:numPr>
        <w:shd w:val="clear" w:color="auto" w:fill="auto"/>
        <w:tabs>
          <w:tab w:val="left" w:pos="102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本人没有与肺炎确诊病例或疑似病例密切接触；</w:t>
      </w:r>
    </w:p>
    <w:p>
      <w:pPr>
        <w:pStyle w:val="36"/>
        <w:numPr>
          <w:ilvl w:val="0"/>
          <w:numId w:val="2"/>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本人过去14天没有与来自疫情重点地区(确诊病例累计超过500例的省份)人员有密切接触；</w:t>
      </w:r>
    </w:p>
    <w:p>
      <w:pPr>
        <w:pStyle w:val="36"/>
        <w:numPr>
          <w:ilvl w:val="0"/>
          <w:numId w:val="2"/>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本人过去14天没有去过疫情重点地区(确诊病例累计超500例的省份);</w:t>
      </w:r>
    </w:p>
    <w:p>
      <w:pPr>
        <w:pStyle w:val="36"/>
        <w:numPr>
          <w:ilvl w:val="0"/>
          <w:numId w:val="2"/>
        </w:numPr>
        <w:shd w:val="clear" w:color="auto" w:fill="auto"/>
        <w:tabs>
          <w:tab w:val="left" w:pos="101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本人没有被留验站集中隔离观察或留观后已解除医学观察；</w:t>
      </w:r>
    </w:p>
    <w:p>
      <w:pPr>
        <w:pStyle w:val="36"/>
        <w:numPr>
          <w:ilvl w:val="0"/>
          <w:numId w:val="2"/>
        </w:numPr>
        <w:shd w:val="clear" w:color="auto" w:fill="auto"/>
        <w:tabs>
          <w:tab w:val="left" w:pos="1027"/>
        </w:tabs>
        <w:spacing w:before="0" w:after="0" w:line="480" w:lineRule="exact"/>
        <w:jc w:val="both"/>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本人目前没有发热、咳嗽、乏力、胸闷等症状；</w:t>
      </w:r>
    </w:p>
    <w:p>
      <w:pPr>
        <w:pStyle w:val="36"/>
        <w:shd w:val="clear" w:color="auto" w:fill="auto"/>
        <w:spacing w:before="0" w:after="0" w:line="480" w:lineRule="exact"/>
        <w:ind w:left="142" w:firstLine="487" w:firstLineChars="174"/>
        <w:jc w:val="left"/>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本人对以上提供的健康相关信息的真实性负责，如因信息不实引起疫情传播和扩散，愿承担由此带来的全部法律责任。</w:t>
      </w:r>
    </w:p>
    <w:p>
      <w:pPr>
        <w:pStyle w:val="36"/>
        <w:shd w:val="clear" w:color="auto" w:fill="auto"/>
        <w:spacing w:before="0" w:after="0" w:line="480" w:lineRule="exact"/>
        <w:ind w:left="142" w:firstLine="487" w:firstLineChars="174"/>
        <w:jc w:val="left"/>
        <w:rPr>
          <w:rFonts w:ascii="仿宋" w:hAnsi="仿宋" w:eastAsia="仿宋" w:cs="Tahoma"/>
          <w:color w:val="auto"/>
          <w:spacing w:val="0"/>
          <w:sz w:val="28"/>
          <w:szCs w:val="28"/>
          <w:highlight w:val="none"/>
        </w:rPr>
      </w:pPr>
    </w:p>
    <w:p>
      <w:pPr>
        <w:pStyle w:val="36"/>
        <w:shd w:val="clear" w:color="auto" w:fill="auto"/>
        <w:spacing w:before="0" w:after="0" w:line="480" w:lineRule="exact"/>
        <w:jc w:val="center"/>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 xml:space="preserve">  </w:t>
      </w:r>
      <w:r>
        <w:rPr>
          <w:rFonts w:hint="eastAsia" w:ascii="仿宋" w:hAnsi="仿宋" w:eastAsia="仿宋" w:cs="Tahoma"/>
          <w:color w:val="auto"/>
          <w:spacing w:val="0"/>
          <w:sz w:val="28"/>
          <w:szCs w:val="28"/>
          <w:highlight w:val="none"/>
          <w:lang w:val="en-US" w:eastAsia="zh-CN"/>
        </w:rPr>
        <w:t xml:space="preserve">              </w:t>
      </w:r>
      <w:r>
        <w:rPr>
          <w:rFonts w:ascii="仿宋" w:hAnsi="仿宋" w:eastAsia="仿宋" w:cs="Tahoma"/>
          <w:color w:val="auto"/>
          <w:spacing w:val="0"/>
          <w:sz w:val="28"/>
          <w:szCs w:val="28"/>
          <w:highlight w:val="none"/>
        </w:rPr>
        <w:t xml:space="preserve">  承诺人：</w:t>
      </w:r>
    </w:p>
    <w:p>
      <w:pPr>
        <w:pStyle w:val="36"/>
        <w:shd w:val="clear" w:color="auto" w:fill="auto"/>
        <w:spacing w:before="0" w:after="0" w:line="480" w:lineRule="exact"/>
        <w:ind w:firstLine="5040" w:firstLineChars="1800"/>
        <w:jc w:val="left"/>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 xml:space="preserve">单位盖章： </w:t>
      </w:r>
    </w:p>
    <w:p>
      <w:pPr>
        <w:pStyle w:val="36"/>
        <w:shd w:val="clear" w:color="auto" w:fill="auto"/>
        <w:spacing w:before="0" w:after="476" w:line="480" w:lineRule="exact"/>
        <w:ind w:firstLine="5880" w:firstLineChars="2100"/>
        <w:jc w:val="left"/>
        <w:rPr>
          <w:rFonts w:ascii="仿宋" w:hAnsi="仿宋" w:eastAsia="仿宋" w:cs="Tahoma"/>
          <w:color w:val="auto"/>
          <w:spacing w:val="0"/>
          <w:sz w:val="28"/>
          <w:szCs w:val="28"/>
          <w:highlight w:val="none"/>
        </w:rPr>
      </w:pPr>
      <w:r>
        <w:rPr>
          <w:rFonts w:ascii="仿宋" w:hAnsi="仿宋" w:eastAsia="仿宋" w:cs="Tahoma"/>
          <w:color w:val="auto"/>
          <w:spacing w:val="0"/>
          <w:sz w:val="28"/>
          <w:szCs w:val="28"/>
          <w:highlight w:val="none"/>
        </w:rPr>
        <w:t>年</w:t>
      </w:r>
      <w:r>
        <w:rPr>
          <w:rFonts w:hint="eastAsia" w:ascii="仿宋" w:hAnsi="仿宋" w:eastAsia="仿宋" w:cs="Tahoma"/>
          <w:color w:val="auto"/>
          <w:spacing w:val="0"/>
          <w:sz w:val="28"/>
          <w:szCs w:val="28"/>
          <w:highlight w:val="none"/>
        </w:rPr>
        <w:t xml:space="preserve"> </w:t>
      </w:r>
      <w:r>
        <w:rPr>
          <w:rFonts w:ascii="仿宋" w:hAnsi="仿宋" w:eastAsia="仿宋" w:cs="Tahoma"/>
          <w:color w:val="auto"/>
          <w:spacing w:val="0"/>
          <w:sz w:val="28"/>
          <w:szCs w:val="28"/>
          <w:highlight w:val="none"/>
        </w:rPr>
        <w:t xml:space="preserve">  月</w:t>
      </w:r>
      <w:r>
        <w:rPr>
          <w:rFonts w:hint="eastAsia" w:ascii="仿宋" w:hAnsi="仿宋" w:eastAsia="仿宋" w:cs="Tahoma"/>
          <w:color w:val="auto"/>
          <w:spacing w:val="0"/>
          <w:sz w:val="28"/>
          <w:szCs w:val="28"/>
          <w:highlight w:val="none"/>
        </w:rPr>
        <w:t xml:space="preserve"> </w:t>
      </w:r>
      <w:r>
        <w:rPr>
          <w:rFonts w:ascii="仿宋" w:hAnsi="仿宋" w:eastAsia="仿宋" w:cs="Tahoma"/>
          <w:color w:val="auto"/>
          <w:spacing w:val="0"/>
          <w:sz w:val="28"/>
          <w:szCs w:val="28"/>
          <w:highlight w:val="none"/>
        </w:rPr>
        <w:t xml:space="preserve">  </w:t>
      </w:r>
      <w:r>
        <w:rPr>
          <w:rFonts w:hint="eastAsia" w:ascii="仿宋" w:hAnsi="仿宋" w:eastAsia="仿宋" w:cs="Tahoma"/>
          <w:color w:val="auto"/>
          <w:spacing w:val="0"/>
          <w:sz w:val="28"/>
          <w:szCs w:val="28"/>
          <w:highlight w:val="none"/>
        </w:rPr>
        <w:t>日</w:t>
      </w:r>
    </w:p>
    <w:p>
      <w:pPr>
        <w:spacing w:before="156" w:beforeLines="50" w:after="156" w:afterLines="50" w:line="480" w:lineRule="exact"/>
        <w:jc w:val="left"/>
        <w:rPr>
          <w:rFonts w:ascii="仿宋" w:hAnsi="仿宋" w:eastAsia="仿宋" w:cs="Tahoma"/>
          <w:color w:val="auto"/>
          <w:kern w:val="0"/>
          <w:sz w:val="28"/>
          <w:szCs w:val="28"/>
        </w:rPr>
      </w:pPr>
      <w:r>
        <w:rPr>
          <w:rFonts w:hint="eastAsia" w:ascii="仿宋" w:hAnsi="仿宋" w:eastAsia="仿宋" w:cs="Tahoma"/>
          <w:color w:val="auto"/>
          <w:kern w:val="0"/>
          <w:sz w:val="28"/>
          <w:szCs w:val="28"/>
        </w:rPr>
        <w:t>备注：</w:t>
      </w:r>
    </w:p>
    <w:p>
      <w:pPr>
        <w:spacing w:before="156" w:beforeLines="50" w:after="156" w:afterLines="50" w:line="480" w:lineRule="exact"/>
        <w:jc w:val="left"/>
        <w:rPr>
          <w:rFonts w:hint="eastAsia" w:ascii="仿宋" w:hAnsi="仿宋" w:eastAsia="仿宋" w:cs="Tahoma"/>
          <w:color w:val="auto"/>
          <w:kern w:val="0"/>
          <w:sz w:val="28"/>
          <w:szCs w:val="28"/>
          <w:highlight w:val="yellow"/>
          <w:lang w:eastAsia="zh-CN"/>
        </w:rPr>
      </w:pPr>
      <w:r>
        <w:rPr>
          <w:rFonts w:ascii="仿宋" w:hAnsi="仿宋" w:eastAsia="仿宋" w:cs="Tahoma"/>
          <w:color w:val="auto"/>
          <w:kern w:val="0"/>
          <w:sz w:val="28"/>
          <w:szCs w:val="28"/>
        </w:rPr>
        <w:t>参赛人员如实填写《疫情防控个人健康承诺书》，并加盖单位</w:t>
      </w:r>
      <w:r>
        <w:rPr>
          <w:rFonts w:hint="eastAsia" w:ascii="仿宋" w:hAnsi="仿宋" w:eastAsia="仿宋" w:cs="Tahoma"/>
          <w:color w:val="auto"/>
          <w:kern w:val="0"/>
          <w:sz w:val="28"/>
          <w:szCs w:val="28"/>
        </w:rPr>
        <w:t>公章，报到时上交承办方</w:t>
      </w:r>
      <w:r>
        <w:rPr>
          <w:rFonts w:hint="eastAsia" w:ascii="仿宋" w:hAnsi="仿宋" w:eastAsia="仿宋" w:cs="Tahoma"/>
          <w:color w:val="auto"/>
          <w:kern w:val="0"/>
          <w:sz w:val="28"/>
          <w:szCs w:val="28"/>
          <w:lang w:eastAsia="zh-CN"/>
        </w:rPr>
        <w:t>。</w:t>
      </w:r>
    </w:p>
    <w:sectPr>
      <w:footerReference r:id="rId3" w:type="default"/>
      <w:pgSz w:w="11906" w:h="16838"/>
      <w:pgMar w:top="1440" w:right="1531" w:bottom="1440" w:left="1531"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锐字云字库小标宋体1.0">
    <w:altName w:val="宋体"/>
    <w:panose1 w:val="00000000000000000000"/>
    <w:charset w:val="86"/>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25EBA9"/>
    <w:multiLevelType w:val="singleLevel"/>
    <w:tmpl w:val="1925EBA9"/>
    <w:lvl w:ilvl="0" w:tentative="0">
      <w:start w:val="3"/>
      <w:numFmt w:val="chineseCounting"/>
      <w:suff w:val="nothing"/>
      <w:lvlText w:val="%1、"/>
      <w:lvlJc w:val="left"/>
      <w:rPr>
        <w:rFonts w:hint="eastAsia"/>
      </w:rPr>
    </w:lvl>
  </w:abstractNum>
  <w:abstractNum w:abstractNumId="1">
    <w:nsid w:val="27523C97"/>
    <w:multiLevelType w:val="multilevel"/>
    <w:tmpl w:val="27523C97"/>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212"/>
    <w:rsid w:val="000113CF"/>
    <w:rsid w:val="00025380"/>
    <w:rsid w:val="00080340"/>
    <w:rsid w:val="00082F6A"/>
    <w:rsid w:val="000876C3"/>
    <w:rsid w:val="000962A2"/>
    <w:rsid w:val="000B33E3"/>
    <w:rsid w:val="000C15A8"/>
    <w:rsid w:val="000D7DE7"/>
    <w:rsid w:val="000E52F7"/>
    <w:rsid w:val="00101552"/>
    <w:rsid w:val="00121D07"/>
    <w:rsid w:val="001701F6"/>
    <w:rsid w:val="001746BF"/>
    <w:rsid w:val="001851AA"/>
    <w:rsid w:val="00190225"/>
    <w:rsid w:val="001A3312"/>
    <w:rsid w:val="001B2628"/>
    <w:rsid w:val="001D0920"/>
    <w:rsid w:val="002226E8"/>
    <w:rsid w:val="00235403"/>
    <w:rsid w:val="00244769"/>
    <w:rsid w:val="002452FC"/>
    <w:rsid w:val="00270773"/>
    <w:rsid w:val="00273B15"/>
    <w:rsid w:val="002A7D80"/>
    <w:rsid w:val="002C2166"/>
    <w:rsid w:val="002C35FB"/>
    <w:rsid w:val="002C49A6"/>
    <w:rsid w:val="002F0254"/>
    <w:rsid w:val="00356929"/>
    <w:rsid w:val="00380A7E"/>
    <w:rsid w:val="00382E94"/>
    <w:rsid w:val="003A01D8"/>
    <w:rsid w:val="003A4642"/>
    <w:rsid w:val="00405C35"/>
    <w:rsid w:val="004A722D"/>
    <w:rsid w:val="004B4F42"/>
    <w:rsid w:val="004B52BD"/>
    <w:rsid w:val="004B77A0"/>
    <w:rsid w:val="004E0EB5"/>
    <w:rsid w:val="004E6BE2"/>
    <w:rsid w:val="00505EB5"/>
    <w:rsid w:val="00530A37"/>
    <w:rsid w:val="00535A73"/>
    <w:rsid w:val="0054145D"/>
    <w:rsid w:val="0057535F"/>
    <w:rsid w:val="005910CB"/>
    <w:rsid w:val="005939A9"/>
    <w:rsid w:val="005A223F"/>
    <w:rsid w:val="005A328A"/>
    <w:rsid w:val="005A43F4"/>
    <w:rsid w:val="005B575A"/>
    <w:rsid w:val="005F3F7F"/>
    <w:rsid w:val="005F6CAB"/>
    <w:rsid w:val="00601154"/>
    <w:rsid w:val="006074B5"/>
    <w:rsid w:val="00634EE4"/>
    <w:rsid w:val="006426C8"/>
    <w:rsid w:val="0066309C"/>
    <w:rsid w:val="00663CC5"/>
    <w:rsid w:val="00671193"/>
    <w:rsid w:val="00671558"/>
    <w:rsid w:val="006777DC"/>
    <w:rsid w:val="006D4F79"/>
    <w:rsid w:val="00710A31"/>
    <w:rsid w:val="00713012"/>
    <w:rsid w:val="00731243"/>
    <w:rsid w:val="00733579"/>
    <w:rsid w:val="00757D56"/>
    <w:rsid w:val="00790142"/>
    <w:rsid w:val="007A11D8"/>
    <w:rsid w:val="007A1DAF"/>
    <w:rsid w:val="007C5D44"/>
    <w:rsid w:val="007E5037"/>
    <w:rsid w:val="007E5FE9"/>
    <w:rsid w:val="007F44A2"/>
    <w:rsid w:val="00801160"/>
    <w:rsid w:val="00821F4A"/>
    <w:rsid w:val="0085284C"/>
    <w:rsid w:val="00855212"/>
    <w:rsid w:val="00877A56"/>
    <w:rsid w:val="00923375"/>
    <w:rsid w:val="00947A5C"/>
    <w:rsid w:val="00951C75"/>
    <w:rsid w:val="00952387"/>
    <w:rsid w:val="00985227"/>
    <w:rsid w:val="009917D1"/>
    <w:rsid w:val="009B6F1D"/>
    <w:rsid w:val="009C441C"/>
    <w:rsid w:val="009D3B2D"/>
    <w:rsid w:val="00A446E7"/>
    <w:rsid w:val="00A4572E"/>
    <w:rsid w:val="00A46166"/>
    <w:rsid w:val="00A47A88"/>
    <w:rsid w:val="00A47B57"/>
    <w:rsid w:val="00A65896"/>
    <w:rsid w:val="00A67B18"/>
    <w:rsid w:val="00A973A0"/>
    <w:rsid w:val="00AA0694"/>
    <w:rsid w:val="00AB6DB6"/>
    <w:rsid w:val="00AC293B"/>
    <w:rsid w:val="00AC5D83"/>
    <w:rsid w:val="00AC7FEB"/>
    <w:rsid w:val="00AD240C"/>
    <w:rsid w:val="00AE67E9"/>
    <w:rsid w:val="00B01B43"/>
    <w:rsid w:val="00B04FFD"/>
    <w:rsid w:val="00B31792"/>
    <w:rsid w:val="00B50A22"/>
    <w:rsid w:val="00B70C76"/>
    <w:rsid w:val="00B72D2E"/>
    <w:rsid w:val="00B94202"/>
    <w:rsid w:val="00BA2BBE"/>
    <w:rsid w:val="00BA63E3"/>
    <w:rsid w:val="00BB26A6"/>
    <w:rsid w:val="00BD12F1"/>
    <w:rsid w:val="00BD1E63"/>
    <w:rsid w:val="00BD2B1B"/>
    <w:rsid w:val="00BF423A"/>
    <w:rsid w:val="00C023A8"/>
    <w:rsid w:val="00C64E11"/>
    <w:rsid w:val="00C97A95"/>
    <w:rsid w:val="00CC0822"/>
    <w:rsid w:val="00CC70E6"/>
    <w:rsid w:val="00D016CF"/>
    <w:rsid w:val="00D20B30"/>
    <w:rsid w:val="00D30477"/>
    <w:rsid w:val="00D45C5B"/>
    <w:rsid w:val="00D64A8C"/>
    <w:rsid w:val="00D80F47"/>
    <w:rsid w:val="00DA6CFC"/>
    <w:rsid w:val="00DC3FF0"/>
    <w:rsid w:val="00DC6F90"/>
    <w:rsid w:val="00DE05B3"/>
    <w:rsid w:val="00DE374C"/>
    <w:rsid w:val="00DE576E"/>
    <w:rsid w:val="00DE5BBA"/>
    <w:rsid w:val="00E2190B"/>
    <w:rsid w:val="00E31C65"/>
    <w:rsid w:val="00E427C6"/>
    <w:rsid w:val="00E458B8"/>
    <w:rsid w:val="00E46C69"/>
    <w:rsid w:val="00E6060D"/>
    <w:rsid w:val="00EB66B0"/>
    <w:rsid w:val="00EB7319"/>
    <w:rsid w:val="00EC73AA"/>
    <w:rsid w:val="00ED6B16"/>
    <w:rsid w:val="00EE5ACD"/>
    <w:rsid w:val="00EF5B26"/>
    <w:rsid w:val="00F06FB5"/>
    <w:rsid w:val="00F11402"/>
    <w:rsid w:val="00F3436C"/>
    <w:rsid w:val="00F4276F"/>
    <w:rsid w:val="00F4759B"/>
    <w:rsid w:val="00F94D66"/>
    <w:rsid w:val="00FB122C"/>
    <w:rsid w:val="00FC26FD"/>
    <w:rsid w:val="00FD3CA4"/>
    <w:rsid w:val="00FF65AD"/>
    <w:rsid w:val="010B37F4"/>
    <w:rsid w:val="03066898"/>
    <w:rsid w:val="03291A5C"/>
    <w:rsid w:val="04187CF9"/>
    <w:rsid w:val="05354EB5"/>
    <w:rsid w:val="05983994"/>
    <w:rsid w:val="059D1A37"/>
    <w:rsid w:val="068664CC"/>
    <w:rsid w:val="09861A5F"/>
    <w:rsid w:val="0B52289B"/>
    <w:rsid w:val="0C5F640C"/>
    <w:rsid w:val="0E111871"/>
    <w:rsid w:val="0E724D07"/>
    <w:rsid w:val="0EB57476"/>
    <w:rsid w:val="0EDC3D49"/>
    <w:rsid w:val="0FD82C9F"/>
    <w:rsid w:val="10A8466B"/>
    <w:rsid w:val="118B4FC2"/>
    <w:rsid w:val="130025EB"/>
    <w:rsid w:val="13CC24BD"/>
    <w:rsid w:val="15253500"/>
    <w:rsid w:val="16140BB2"/>
    <w:rsid w:val="178F5813"/>
    <w:rsid w:val="18806227"/>
    <w:rsid w:val="18C0156B"/>
    <w:rsid w:val="19F76D87"/>
    <w:rsid w:val="1A93194C"/>
    <w:rsid w:val="1DBE31DF"/>
    <w:rsid w:val="1F8D104D"/>
    <w:rsid w:val="1F97136E"/>
    <w:rsid w:val="22912A2C"/>
    <w:rsid w:val="238321C2"/>
    <w:rsid w:val="262D693F"/>
    <w:rsid w:val="2A2B0A22"/>
    <w:rsid w:val="2A574CD5"/>
    <w:rsid w:val="2D3F0417"/>
    <w:rsid w:val="2F6A40B0"/>
    <w:rsid w:val="308B3FB5"/>
    <w:rsid w:val="30944C1D"/>
    <w:rsid w:val="317C516B"/>
    <w:rsid w:val="326B1354"/>
    <w:rsid w:val="32DB239D"/>
    <w:rsid w:val="34A9237D"/>
    <w:rsid w:val="34E16C33"/>
    <w:rsid w:val="34EA2DF1"/>
    <w:rsid w:val="35DA279E"/>
    <w:rsid w:val="36881CFD"/>
    <w:rsid w:val="38376BB8"/>
    <w:rsid w:val="3B941016"/>
    <w:rsid w:val="3BC1560F"/>
    <w:rsid w:val="3BF032FD"/>
    <w:rsid w:val="3C36166A"/>
    <w:rsid w:val="3D936111"/>
    <w:rsid w:val="3DA0512B"/>
    <w:rsid w:val="3E235617"/>
    <w:rsid w:val="3F9C45E7"/>
    <w:rsid w:val="3FC675A3"/>
    <w:rsid w:val="4176470C"/>
    <w:rsid w:val="42F9649A"/>
    <w:rsid w:val="43584B9C"/>
    <w:rsid w:val="44787ABB"/>
    <w:rsid w:val="44F5426F"/>
    <w:rsid w:val="4606347B"/>
    <w:rsid w:val="47AA49F7"/>
    <w:rsid w:val="481D0436"/>
    <w:rsid w:val="498A3352"/>
    <w:rsid w:val="49E24731"/>
    <w:rsid w:val="4ACF0D1E"/>
    <w:rsid w:val="4AF95194"/>
    <w:rsid w:val="4E1A3602"/>
    <w:rsid w:val="4E526E4D"/>
    <w:rsid w:val="4F103CF9"/>
    <w:rsid w:val="4F8C0C8D"/>
    <w:rsid w:val="501D7A12"/>
    <w:rsid w:val="511C6CA5"/>
    <w:rsid w:val="51551B87"/>
    <w:rsid w:val="5197505B"/>
    <w:rsid w:val="51A46212"/>
    <w:rsid w:val="527D6D17"/>
    <w:rsid w:val="53F377BE"/>
    <w:rsid w:val="5555266A"/>
    <w:rsid w:val="55744E3D"/>
    <w:rsid w:val="561B4A9D"/>
    <w:rsid w:val="56344643"/>
    <w:rsid w:val="573525B0"/>
    <w:rsid w:val="58C17DE6"/>
    <w:rsid w:val="58C57FF0"/>
    <w:rsid w:val="5A3A136A"/>
    <w:rsid w:val="5C74087D"/>
    <w:rsid w:val="5D11331A"/>
    <w:rsid w:val="5EE23BD1"/>
    <w:rsid w:val="5F4D44CD"/>
    <w:rsid w:val="5F587255"/>
    <w:rsid w:val="602A4EC3"/>
    <w:rsid w:val="608448E4"/>
    <w:rsid w:val="60D75715"/>
    <w:rsid w:val="61FF6AA1"/>
    <w:rsid w:val="648B719B"/>
    <w:rsid w:val="6825165D"/>
    <w:rsid w:val="68491277"/>
    <w:rsid w:val="687015D2"/>
    <w:rsid w:val="68B1409B"/>
    <w:rsid w:val="69376717"/>
    <w:rsid w:val="6B1C2E6E"/>
    <w:rsid w:val="6BD06792"/>
    <w:rsid w:val="6C4F6A2E"/>
    <w:rsid w:val="6CC91B00"/>
    <w:rsid w:val="6F4E37E7"/>
    <w:rsid w:val="70DE5893"/>
    <w:rsid w:val="713A2786"/>
    <w:rsid w:val="71C9651D"/>
    <w:rsid w:val="72403CE7"/>
    <w:rsid w:val="728666B1"/>
    <w:rsid w:val="73247883"/>
    <w:rsid w:val="75936081"/>
    <w:rsid w:val="788C6D64"/>
    <w:rsid w:val="79BA46A8"/>
    <w:rsid w:val="7C4C1B52"/>
    <w:rsid w:val="7C4E7E94"/>
    <w:rsid w:val="7D4672C6"/>
    <w:rsid w:val="7F3161CC"/>
    <w:rsid w:val="7FF77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0" w:semiHidden="0" w:name="heading 7"/>
    <w:lsdException w:qFormat="1"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Calibri" w:hAnsi="Calibri"/>
      <w:b/>
      <w:bCs/>
      <w:kern w:val="44"/>
      <w:sz w:val="44"/>
      <w:szCs w:val="44"/>
    </w:rPr>
  </w:style>
  <w:style w:type="paragraph" w:styleId="3">
    <w:name w:val="heading 2"/>
    <w:basedOn w:val="1"/>
    <w:next w:val="1"/>
    <w:link w:val="18"/>
    <w:unhideWhenUsed/>
    <w:qFormat/>
    <w:uiPriority w:val="0"/>
    <w:pPr>
      <w:keepNext/>
      <w:keepLines/>
      <w:spacing w:before="260" w:after="260" w:line="416" w:lineRule="auto"/>
      <w:outlineLvl w:val="1"/>
    </w:pPr>
    <w:rPr>
      <w:rFonts w:ascii="Calibri Light" w:hAnsi="Calibri Light" w:eastAsia="宋体" w:cs="Times New Roman"/>
      <w:b/>
      <w:bCs/>
      <w:sz w:val="32"/>
      <w:szCs w:val="32"/>
    </w:rPr>
  </w:style>
  <w:style w:type="paragraph" w:styleId="4">
    <w:name w:val="heading 3"/>
    <w:basedOn w:val="1"/>
    <w:next w:val="1"/>
    <w:link w:val="19"/>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7"/>
    <w:basedOn w:val="1"/>
    <w:next w:val="1"/>
    <w:link w:val="25"/>
    <w:unhideWhenUsed/>
    <w:qFormat/>
    <w:uiPriority w:val="0"/>
    <w:pPr>
      <w:keepNext/>
      <w:keepLines/>
      <w:spacing w:before="240" w:after="64" w:line="320" w:lineRule="auto"/>
      <w:outlineLvl w:val="6"/>
    </w:pPr>
    <w:rPr>
      <w:b/>
      <w:bCs/>
      <w:sz w:val="24"/>
    </w:rPr>
  </w:style>
  <w:style w:type="paragraph" w:styleId="6">
    <w:name w:val="heading 8"/>
    <w:basedOn w:val="1"/>
    <w:next w:val="1"/>
    <w:link w:val="26"/>
    <w:unhideWhenUsed/>
    <w:qFormat/>
    <w:uiPriority w:val="0"/>
    <w:pPr>
      <w:keepNext/>
      <w:keepLines/>
      <w:spacing w:before="240" w:after="64" w:line="320" w:lineRule="auto"/>
      <w:outlineLvl w:val="7"/>
    </w:pPr>
    <w:rPr>
      <w:rFonts w:asciiTheme="majorHAnsi" w:hAnsiTheme="majorHAnsi" w:eastAsiaTheme="majorEastAsia" w:cstheme="majorBidi"/>
      <w:sz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99"/>
    <w:pPr>
      <w:jc w:val="left"/>
    </w:pPr>
    <w:rPr>
      <w:lang w:val="zh-CN"/>
    </w:rPr>
  </w:style>
  <w:style w:type="paragraph" w:styleId="8">
    <w:name w:val="Balloon Text"/>
    <w:basedOn w:val="1"/>
    <w:link w:val="27"/>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rFonts w:ascii="Calibri" w:hAnsi="Calibri" w:eastAsia="宋体" w:cs="Times New Roman"/>
      <w:sz w:val="18"/>
      <w:szCs w:val="18"/>
    </w:rPr>
  </w:style>
  <w:style w:type="paragraph" w:styleId="10">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29"/>
    <w:qFormat/>
    <w:uiPriority w:val="0"/>
    <w:pPr>
      <w:snapToGrid w:val="0"/>
      <w:jc w:val="left"/>
    </w:pPr>
    <w:rPr>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rFonts w:eastAsia="宋体" w:cs="Times New Roman"/>
      <w:sz w:val="21"/>
    </w:rPr>
  </w:style>
  <w:style w:type="character" w:styleId="17">
    <w:name w:val="Hyperlink"/>
    <w:basedOn w:val="15"/>
    <w:qFormat/>
    <w:uiPriority w:val="0"/>
    <w:rPr>
      <w:color w:val="0000FF"/>
      <w:u w:val="single"/>
    </w:rPr>
  </w:style>
  <w:style w:type="character" w:customStyle="1" w:styleId="18">
    <w:name w:val="标题 2 字符"/>
    <w:basedOn w:val="15"/>
    <w:link w:val="3"/>
    <w:qFormat/>
    <w:uiPriority w:val="0"/>
    <w:rPr>
      <w:rFonts w:ascii="Calibri Light" w:hAnsi="Calibri Light" w:eastAsia="宋体" w:cs="Times New Roman"/>
      <w:b/>
      <w:bCs/>
      <w:sz w:val="32"/>
      <w:szCs w:val="32"/>
    </w:rPr>
  </w:style>
  <w:style w:type="character" w:customStyle="1" w:styleId="19">
    <w:name w:val="标题 3 字符"/>
    <w:basedOn w:val="15"/>
    <w:link w:val="4"/>
    <w:qFormat/>
    <w:uiPriority w:val="0"/>
    <w:rPr>
      <w:rFonts w:ascii="Times New Roman" w:hAnsi="Times New Roman" w:eastAsia="宋体" w:cs="Times New Roman"/>
      <w:b/>
      <w:bCs/>
      <w:sz w:val="32"/>
      <w:szCs w:val="32"/>
    </w:rPr>
  </w:style>
  <w:style w:type="character" w:customStyle="1" w:styleId="20">
    <w:name w:val="批注文字 字符"/>
    <w:basedOn w:val="15"/>
    <w:link w:val="7"/>
    <w:qFormat/>
    <w:uiPriority w:val="99"/>
    <w:rPr>
      <w:szCs w:val="24"/>
      <w:lang w:val="zh-CN"/>
    </w:rPr>
  </w:style>
  <w:style w:type="paragraph" w:styleId="21">
    <w:name w:val="List Paragraph"/>
    <w:basedOn w:val="1"/>
    <w:qFormat/>
    <w:uiPriority w:val="99"/>
    <w:pPr>
      <w:ind w:firstLine="420" w:firstLineChars="200"/>
    </w:pPr>
  </w:style>
  <w:style w:type="character" w:customStyle="1" w:styleId="22">
    <w:name w:val="页脚 Char"/>
    <w:basedOn w:val="15"/>
    <w:qFormat/>
    <w:uiPriority w:val="0"/>
    <w:rPr>
      <w:sz w:val="18"/>
      <w:szCs w:val="18"/>
    </w:rPr>
  </w:style>
  <w:style w:type="character" w:customStyle="1" w:styleId="23">
    <w:name w:val="页脚 字符"/>
    <w:basedOn w:val="15"/>
    <w:link w:val="9"/>
    <w:qFormat/>
    <w:uiPriority w:val="99"/>
    <w:rPr>
      <w:rFonts w:ascii="Calibri" w:hAnsi="Calibri" w:eastAsia="宋体" w:cs="Times New Roman"/>
      <w:sz w:val="18"/>
      <w:szCs w:val="18"/>
    </w:rPr>
  </w:style>
  <w:style w:type="character" w:customStyle="1" w:styleId="24">
    <w:name w:val="标题 1 字符"/>
    <w:basedOn w:val="15"/>
    <w:link w:val="2"/>
    <w:qFormat/>
    <w:uiPriority w:val="0"/>
    <w:rPr>
      <w:rFonts w:ascii="Calibri" w:hAnsi="Calibri"/>
      <w:b/>
      <w:bCs/>
      <w:kern w:val="44"/>
      <w:sz w:val="44"/>
      <w:szCs w:val="44"/>
    </w:rPr>
  </w:style>
  <w:style w:type="character" w:customStyle="1" w:styleId="25">
    <w:name w:val="标题 7 字符"/>
    <w:basedOn w:val="15"/>
    <w:link w:val="5"/>
    <w:qFormat/>
    <w:uiPriority w:val="0"/>
    <w:rPr>
      <w:b/>
      <w:bCs/>
      <w:sz w:val="24"/>
      <w:szCs w:val="24"/>
    </w:rPr>
  </w:style>
  <w:style w:type="character" w:customStyle="1" w:styleId="26">
    <w:name w:val="标题 8 字符"/>
    <w:basedOn w:val="15"/>
    <w:link w:val="6"/>
    <w:qFormat/>
    <w:uiPriority w:val="0"/>
    <w:rPr>
      <w:rFonts w:asciiTheme="majorHAnsi" w:hAnsiTheme="majorHAnsi" w:eastAsiaTheme="majorEastAsia" w:cstheme="majorBidi"/>
      <w:sz w:val="24"/>
      <w:szCs w:val="24"/>
    </w:rPr>
  </w:style>
  <w:style w:type="character" w:customStyle="1" w:styleId="27">
    <w:name w:val="批注框文本 字符"/>
    <w:basedOn w:val="15"/>
    <w:link w:val="8"/>
    <w:qFormat/>
    <w:uiPriority w:val="0"/>
    <w:rPr>
      <w:sz w:val="18"/>
      <w:szCs w:val="18"/>
    </w:rPr>
  </w:style>
  <w:style w:type="character" w:customStyle="1" w:styleId="28">
    <w:name w:val="页眉 字符"/>
    <w:basedOn w:val="15"/>
    <w:link w:val="10"/>
    <w:qFormat/>
    <w:uiPriority w:val="0"/>
    <w:rPr>
      <w:sz w:val="18"/>
      <w:szCs w:val="18"/>
    </w:rPr>
  </w:style>
  <w:style w:type="character" w:customStyle="1" w:styleId="29">
    <w:name w:val="脚注文本 字符"/>
    <w:basedOn w:val="15"/>
    <w:link w:val="11"/>
    <w:qFormat/>
    <w:uiPriority w:val="0"/>
    <w:rPr>
      <w:kern w:val="0"/>
      <w:sz w:val="18"/>
      <w:szCs w:val="18"/>
    </w:rPr>
  </w:style>
  <w:style w:type="paragraph" w:customStyle="1" w:styleId="30">
    <w:name w:val="列出段落1"/>
    <w:basedOn w:val="1"/>
    <w:qFormat/>
    <w:uiPriority w:val="34"/>
    <w:pPr>
      <w:ind w:firstLine="420" w:firstLineChars="200"/>
    </w:pPr>
  </w:style>
  <w:style w:type="paragraph" w:customStyle="1" w:styleId="31">
    <w:name w:val="List Paragraph1"/>
    <w:basedOn w:val="1"/>
    <w:qFormat/>
    <w:uiPriority w:val="99"/>
    <w:pPr>
      <w:ind w:firstLine="420" w:firstLineChars="200"/>
    </w:pPr>
  </w:style>
  <w:style w:type="paragraph" w:customStyle="1" w:styleId="3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3">
    <w:name w:val="列出段落2"/>
    <w:basedOn w:val="1"/>
    <w:qFormat/>
    <w:uiPriority w:val="0"/>
    <w:pPr>
      <w:ind w:firstLine="420" w:firstLineChars="200"/>
    </w:pPr>
    <w:rPr>
      <w:rFonts w:ascii="Times New Roman" w:hAnsi="Times New Roman" w:eastAsia="宋体" w:cs="Times New Roman"/>
      <w:sz w:val="24"/>
    </w:rPr>
  </w:style>
  <w:style w:type="character" w:customStyle="1" w:styleId="34">
    <w:name w:val="b"/>
    <w:basedOn w:val="15"/>
    <w:qFormat/>
    <w:uiPriority w:val="0"/>
  </w:style>
  <w:style w:type="paragraph" w:customStyle="1" w:styleId="35">
    <w:name w:val="列出段落3"/>
    <w:basedOn w:val="1"/>
    <w:qFormat/>
    <w:uiPriority w:val="99"/>
    <w:pPr>
      <w:ind w:firstLine="420" w:firstLineChars="200"/>
    </w:pPr>
  </w:style>
  <w:style w:type="paragraph" w:customStyle="1" w:styleId="36">
    <w:name w:val="正文文本 (5)"/>
    <w:basedOn w:val="1"/>
    <w:qFormat/>
    <w:uiPriority w:val="0"/>
    <w:pPr>
      <w:shd w:val="clear" w:color="auto" w:fill="FFFFFF"/>
      <w:spacing w:before="240" w:after="240" w:line="0" w:lineRule="atLeast"/>
      <w:jc w:val="distribute"/>
    </w:pPr>
    <w:rPr>
      <w:rFonts w:ascii="MingLiU" w:hAnsi="MingLiU" w:eastAsia="MingLiU" w:cs="MingLiU"/>
      <w:spacing w:val="20"/>
      <w:kern w:val="0"/>
      <w:sz w:val="30"/>
      <w:szCs w:val="30"/>
    </w:rPr>
  </w:style>
  <w:style w:type="character" w:customStyle="1" w:styleId="37">
    <w:name w:val="font01"/>
    <w:basedOn w:val="15"/>
    <w:qFormat/>
    <w:uiPriority w:val="0"/>
    <w:rPr>
      <w:rFonts w:hint="default" w:ascii="Calibri" w:hAnsi="Calibri" w:cs="Calibri"/>
      <w:color w:val="000000"/>
      <w:sz w:val="22"/>
      <w:szCs w:val="22"/>
      <w:u w:val="none"/>
    </w:rPr>
  </w:style>
  <w:style w:type="character" w:customStyle="1" w:styleId="38">
    <w:name w:val="font11"/>
    <w:basedOn w:val="15"/>
    <w:qFormat/>
    <w:uiPriority w:val="0"/>
    <w:rPr>
      <w:rFonts w:hint="eastAsia" w:ascii="宋体" w:hAnsi="宋体" w:eastAsia="宋体" w:cs="宋体"/>
      <w:color w:val="000000"/>
      <w:sz w:val="22"/>
      <w:szCs w:val="22"/>
      <w:u w:val="none"/>
    </w:rPr>
  </w:style>
  <w:style w:type="character" w:customStyle="1" w:styleId="39">
    <w:name w:val="font41"/>
    <w:basedOn w:val="15"/>
    <w:qFormat/>
    <w:uiPriority w:val="0"/>
    <w:rPr>
      <w:rFonts w:hint="eastAsia" w:ascii="宋体" w:hAnsi="宋体" w:eastAsia="宋体" w:cs="宋体"/>
      <w:color w:val="000000"/>
      <w:sz w:val="22"/>
      <w:szCs w:val="22"/>
      <w:u w:val="none"/>
    </w:rPr>
  </w:style>
  <w:style w:type="character" w:customStyle="1" w:styleId="40">
    <w:name w:val="font21"/>
    <w:basedOn w:val="15"/>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3269</Words>
  <Characters>3571</Characters>
  <Lines>20</Lines>
  <Paragraphs>5</Paragraphs>
  <TotalTime>7</TotalTime>
  <ScaleCrop>false</ScaleCrop>
  <LinksUpToDate>false</LinksUpToDate>
  <CharactersWithSpaces>3684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2018-06-16T06:51:00Z</dcterms:created>
  <dc:creator>Windows 用户</dc:creator>
  <cp:lastModifiedBy>administration</cp:lastModifiedBy>
  <cp:lastPrinted>2021-09-17T05:44:00Z</cp:lastPrinted>
  <dcterms:modified xsi:type="dcterms:W3CDTF">2021-10-26T09:32:47Z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CED1FAB130BE4FFEBF7D218B87E04831</vt:lpwstr>
  </property>
</Properties>
</file>